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DD43" w14:textId="5BA6D4F9" w:rsidR="00350AC2" w:rsidRPr="00AC665A" w:rsidRDefault="00350AC2" w:rsidP="00350AC2">
      <w:pPr>
        <w:shd w:val="clear" w:color="auto" w:fill="E6E6E6"/>
        <w:spacing w:line="288" w:lineRule="auto"/>
        <w:ind w:right="23"/>
        <w:jc w:val="center"/>
        <w:rPr>
          <w:b/>
          <w:bCs/>
          <w:sz w:val="22"/>
          <w:szCs w:val="22"/>
        </w:rPr>
      </w:pPr>
      <w:bookmarkStart w:id="0" w:name="_Hlk91162878"/>
      <w:r w:rsidRPr="00AC665A">
        <w:rPr>
          <w:b/>
          <w:bCs/>
          <w:sz w:val="22"/>
          <w:szCs w:val="22"/>
        </w:rPr>
        <w:t>Kapitel 20 - Devisenmarkt</w:t>
      </w:r>
    </w:p>
    <w:p w14:paraId="5494395F" w14:textId="5A29BECD" w:rsidR="00350AC2" w:rsidRPr="00AC665A" w:rsidRDefault="00350AC2" w:rsidP="00263B0B">
      <w:pPr>
        <w:shd w:val="clear" w:color="auto" w:fill="E6E6E6"/>
        <w:spacing w:line="288" w:lineRule="auto"/>
        <w:ind w:right="23"/>
        <w:jc w:val="center"/>
        <w:rPr>
          <w:b/>
          <w:bCs/>
          <w:sz w:val="22"/>
          <w:szCs w:val="22"/>
        </w:rPr>
      </w:pPr>
      <w:r w:rsidRPr="00AC665A">
        <w:rPr>
          <w:b/>
          <w:bCs/>
          <w:sz w:val="22"/>
          <w:szCs w:val="22"/>
        </w:rPr>
        <w:t>Exkurs „Europäisches Währungssystem“</w:t>
      </w:r>
    </w:p>
    <w:bookmarkEnd w:id="0"/>
    <w:p w14:paraId="01BEC7C4" w14:textId="0E899BE9" w:rsidR="00263B0B" w:rsidRPr="00AC665A" w:rsidRDefault="00263B0B" w:rsidP="00263B0B"/>
    <w:p w14:paraId="502F0087" w14:textId="77777777" w:rsidR="00263B0B" w:rsidRPr="00AC665A" w:rsidRDefault="00263B0B" w:rsidP="00263B0B"/>
    <w:p w14:paraId="71FB444D" w14:textId="37F5F1A9" w:rsidR="00350AC2" w:rsidRPr="00AC665A" w:rsidRDefault="00350AC2" w:rsidP="00431FB2">
      <w:pPr>
        <w:shd w:val="clear" w:color="auto" w:fill="FFFFFF" w:themeFill="background1"/>
        <w:rPr>
          <w:b/>
          <w:sz w:val="22"/>
          <w:szCs w:val="22"/>
        </w:rPr>
      </w:pPr>
      <w:r w:rsidRPr="00AC665A">
        <w:rPr>
          <w:b/>
          <w:sz w:val="22"/>
          <w:szCs w:val="22"/>
        </w:rPr>
        <w:t xml:space="preserve">Entstehung des Europäischen Währungssystems </w:t>
      </w:r>
    </w:p>
    <w:p w14:paraId="673E3FFD" w14:textId="77777777" w:rsidR="00263B0B" w:rsidRPr="00AC665A" w:rsidRDefault="00263B0B" w:rsidP="00350AC2">
      <w:pPr>
        <w:spacing w:line="288" w:lineRule="auto"/>
        <w:jc w:val="both"/>
        <w:rPr>
          <w:sz w:val="22"/>
          <w:szCs w:val="22"/>
        </w:rPr>
      </w:pPr>
    </w:p>
    <w:p w14:paraId="52E1F6ED" w14:textId="19012D93" w:rsidR="00350AC2" w:rsidRPr="00AC665A" w:rsidRDefault="00350AC2" w:rsidP="00350AC2">
      <w:pPr>
        <w:spacing w:line="288" w:lineRule="auto"/>
        <w:jc w:val="both"/>
        <w:rPr>
          <w:sz w:val="22"/>
          <w:szCs w:val="22"/>
        </w:rPr>
      </w:pPr>
      <w:r w:rsidRPr="00AC665A">
        <w:rPr>
          <w:sz w:val="22"/>
          <w:szCs w:val="22"/>
        </w:rPr>
        <w:t xml:space="preserve">Nach den Währungsturbulenzen in den </w:t>
      </w:r>
      <w:r w:rsidR="00CE019A" w:rsidRPr="00AC665A">
        <w:rPr>
          <w:sz w:val="22"/>
          <w:szCs w:val="22"/>
        </w:rPr>
        <w:t>19</w:t>
      </w:r>
      <w:r w:rsidRPr="00AC665A">
        <w:rPr>
          <w:sz w:val="22"/>
          <w:szCs w:val="22"/>
        </w:rPr>
        <w:t>70er Jahren sollte mit dem Europäischen Währungssystem (EWS) eine Zone monetärer Stabilität in Europa geschaffen werden. Die Gründerstaaten versprachen sich davon auch weitere Impulse für den Integrationsprozess in der Europäischen Gemeinschaft. Das EWS setzt</w:t>
      </w:r>
      <w:r w:rsidR="00263B0B" w:rsidRPr="00AC665A">
        <w:rPr>
          <w:sz w:val="22"/>
          <w:szCs w:val="22"/>
        </w:rPr>
        <w:t>e</w:t>
      </w:r>
      <w:r w:rsidRPr="00AC665A">
        <w:rPr>
          <w:sz w:val="22"/>
          <w:szCs w:val="22"/>
        </w:rPr>
        <w:t xml:space="preserve"> sich </w:t>
      </w:r>
      <w:proofErr w:type="gramStart"/>
      <w:r w:rsidRPr="00AC665A">
        <w:rPr>
          <w:sz w:val="22"/>
          <w:szCs w:val="22"/>
        </w:rPr>
        <w:t>aus folgenden</w:t>
      </w:r>
      <w:proofErr w:type="gramEnd"/>
      <w:r w:rsidRPr="00AC665A">
        <w:rPr>
          <w:sz w:val="22"/>
          <w:szCs w:val="22"/>
        </w:rPr>
        <w:t xml:space="preserve"> Elementen zusammen:</w:t>
      </w:r>
    </w:p>
    <w:p w14:paraId="41CAB1F9" w14:textId="77777777" w:rsidR="00350AC2" w:rsidRPr="00AC665A" w:rsidRDefault="00350AC2" w:rsidP="00350AC2">
      <w:pPr>
        <w:spacing w:line="288" w:lineRule="auto"/>
        <w:jc w:val="both"/>
        <w:rPr>
          <w:sz w:val="22"/>
          <w:szCs w:val="22"/>
        </w:rPr>
      </w:pPr>
    </w:p>
    <w:p w14:paraId="181A6910" w14:textId="77777777" w:rsidR="00350AC2" w:rsidRPr="00AC665A" w:rsidRDefault="00350AC2" w:rsidP="00350AC2">
      <w:pPr>
        <w:pStyle w:val="Listenabsatz"/>
        <w:numPr>
          <w:ilvl w:val="0"/>
          <w:numId w:val="3"/>
        </w:numPr>
        <w:spacing w:line="288" w:lineRule="auto"/>
        <w:ind w:left="426" w:hanging="426"/>
        <w:jc w:val="both"/>
        <w:rPr>
          <w:sz w:val="22"/>
          <w:szCs w:val="22"/>
        </w:rPr>
      </w:pPr>
      <w:r w:rsidRPr="00AC665A">
        <w:rPr>
          <w:sz w:val="22"/>
          <w:szCs w:val="22"/>
        </w:rPr>
        <w:t>Es handelte sich um ein System fixer Wechselkurse mit Bandbreiten zwischen den Währungen der Mitgliedsländer.</w:t>
      </w:r>
    </w:p>
    <w:p w14:paraId="483D48DA" w14:textId="065183E8" w:rsidR="00350AC2" w:rsidRPr="00AC665A" w:rsidRDefault="00350AC2" w:rsidP="00350AC2">
      <w:pPr>
        <w:pStyle w:val="Listenabsatz"/>
        <w:numPr>
          <w:ilvl w:val="0"/>
          <w:numId w:val="3"/>
        </w:numPr>
        <w:spacing w:line="288" w:lineRule="auto"/>
        <w:ind w:left="426" w:hanging="426"/>
        <w:jc w:val="both"/>
        <w:rPr>
          <w:sz w:val="22"/>
          <w:szCs w:val="22"/>
        </w:rPr>
      </w:pPr>
      <w:r w:rsidRPr="00AC665A">
        <w:rPr>
          <w:sz w:val="22"/>
          <w:szCs w:val="22"/>
        </w:rPr>
        <w:t>Es wurde eine europäische Währungseinheit</w:t>
      </w:r>
      <w:r w:rsidR="00A97C9D" w:rsidRPr="00AC665A">
        <w:rPr>
          <w:sz w:val="22"/>
          <w:szCs w:val="22"/>
        </w:rPr>
        <w:t>,</w:t>
      </w:r>
      <w:r w:rsidRPr="00AC665A">
        <w:rPr>
          <w:sz w:val="22"/>
          <w:szCs w:val="22"/>
        </w:rPr>
        <w:t xml:space="preserve"> ECU</w:t>
      </w:r>
      <w:r w:rsidR="00A97C9D" w:rsidRPr="00AC665A">
        <w:rPr>
          <w:sz w:val="22"/>
          <w:szCs w:val="22"/>
        </w:rPr>
        <w:t>,</w:t>
      </w:r>
      <w:r w:rsidRPr="00AC665A">
        <w:rPr>
          <w:sz w:val="22"/>
          <w:szCs w:val="22"/>
        </w:rPr>
        <w:t xml:space="preserve"> als gew</w:t>
      </w:r>
      <w:r w:rsidR="00A97C9D" w:rsidRPr="00AC665A">
        <w:rPr>
          <w:sz w:val="22"/>
          <w:szCs w:val="22"/>
        </w:rPr>
        <w:t>ichteter</w:t>
      </w:r>
      <w:r w:rsidRPr="00AC665A">
        <w:rPr>
          <w:sz w:val="22"/>
          <w:szCs w:val="22"/>
        </w:rPr>
        <w:t xml:space="preserve"> Durchschnitt aller am EWS beteiligten Staaten ermittelt. Der ECU diente als künstliche Bezugsgröße für Wechselkurse bzw. Wechselkursabweichungen und Rechengröße für die Abwicklung von Transaktionen zwischen den Notenbanken und Institutionen der EU. Die Gewichte ergaben sich aus den Anteilen der Länder am innereuropäischen Handel. Durch die Fixierung der Wechselkurse am ECU entstand ein System ECU-bezogener Leitkurse, die die Grundlage des </w:t>
      </w:r>
      <w:proofErr w:type="spellStart"/>
      <w:r w:rsidRPr="00AC665A">
        <w:rPr>
          <w:sz w:val="22"/>
          <w:szCs w:val="22"/>
        </w:rPr>
        <w:t>Paritätengitters</w:t>
      </w:r>
      <w:proofErr w:type="spellEnd"/>
      <w:r w:rsidRPr="00AC665A">
        <w:rPr>
          <w:sz w:val="22"/>
          <w:szCs w:val="22"/>
        </w:rPr>
        <w:t xml:space="preserve"> bildeten.</w:t>
      </w:r>
    </w:p>
    <w:p w14:paraId="7220BC51" w14:textId="46977443" w:rsidR="00350AC2" w:rsidRPr="00AC665A" w:rsidRDefault="00350AC2" w:rsidP="00350AC2">
      <w:pPr>
        <w:pStyle w:val="Listenabsatz"/>
        <w:numPr>
          <w:ilvl w:val="0"/>
          <w:numId w:val="3"/>
        </w:numPr>
        <w:spacing w:line="288" w:lineRule="auto"/>
        <w:ind w:left="426" w:hanging="426"/>
        <w:jc w:val="both"/>
        <w:rPr>
          <w:sz w:val="22"/>
          <w:szCs w:val="22"/>
        </w:rPr>
      </w:pPr>
      <w:r w:rsidRPr="00AC665A">
        <w:rPr>
          <w:sz w:val="22"/>
          <w:szCs w:val="22"/>
        </w:rPr>
        <w:t>Die Kurse der beteiligten Länder dürften nur um +-2,25</w:t>
      </w:r>
      <w:r w:rsidR="00991205" w:rsidRPr="00AC665A">
        <w:rPr>
          <w:sz w:val="22"/>
          <w:szCs w:val="22"/>
        </w:rPr>
        <w:t xml:space="preserve"> Prozent</w:t>
      </w:r>
      <w:r w:rsidRPr="00AC665A">
        <w:rPr>
          <w:sz w:val="22"/>
          <w:szCs w:val="22"/>
        </w:rPr>
        <w:t xml:space="preserve"> vom jeweiligen ECU-Leitkurs abweichen. Die maximale Bandbreite betrug also 4,5</w:t>
      </w:r>
      <w:r w:rsidR="00991205" w:rsidRPr="00AC665A">
        <w:rPr>
          <w:sz w:val="22"/>
          <w:szCs w:val="22"/>
        </w:rPr>
        <w:t xml:space="preserve"> Prozent</w:t>
      </w:r>
      <w:r w:rsidRPr="00AC665A">
        <w:rPr>
          <w:sz w:val="22"/>
          <w:szCs w:val="22"/>
        </w:rPr>
        <w:t>. Allerdings mussten bei Erreichen von 75</w:t>
      </w:r>
      <w:r w:rsidR="00991205" w:rsidRPr="00AC665A">
        <w:rPr>
          <w:sz w:val="22"/>
          <w:szCs w:val="22"/>
        </w:rPr>
        <w:t xml:space="preserve"> Prozent</w:t>
      </w:r>
      <w:r w:rsidRPr="00AC665A">
        <w:rPr>
          <w:sz w:val="22"/>
          <w:szCs w:val="22"/>
        </w:rPr>
        <w:t xml:space="preserve"> der maximal erlaubten Abweichung („</w:t>
      </w:r>
      <w:proofErr w:type="spellStart"/>
      <w:r w:rsidRPr="00AC665A">
        <w:rPr>
          <w:b/>
          <w:sz w:val="22"/>
          <w:szCs w:val="22"/>
        </w:rPr>
        <w:t>Divergenzschwelle</w:t>
      </w:r>
      <w:proofErr w:type="spellEnd"/>
      <w:r w:rsidRPr="00AC665A">
        <w:rPr>
          <w:sz w:val="22"/>
          <w:szCs w:val="22"/>
        </w:rPr>
        <w:t>“, also +/-1,6875</w:t>
      </w:r>
      <w:r w:rsidR="00991205" w:rsidRPr="00AC665A">
        <w:rPr>
          <w:sz w:val="22"/>
          <w:szCs w:val="22"/>
        </w:rPr>
        <w:t xml:space="preserve"> </w:t>
      </w:r>
      <w:r w:rsidR="007A238A" w:rsidRPr="00AC665A">
        <w:rPr>
          <w:sz w:val="22"/>
          <w:szCs w:val="22"/>
        </w:rPr>
        <w:t>Prozent</w:t>
      </w:r>
      <w:r w:rsidRPr="00AC665A">
        <w:rPr>
          <w:sz w:val="22"/>
          <w:szCs w:val="22"/>
        </w:rPr>
        <w:t>) bereits wirtschafts- und währungspolitische Maßnahmen ergriffen werden, damit eine Intervention erst gar nicht nötig gewesen wäre.</w:t>
      </w:r>
    </w:p>
    <w:p w14:paraId="6CE5698E" w14:textId="3B54094E" w:rsidR="00350AC2" w:rsidRPr="00AC665A" w:rsidRDefault="00350AC2" w:rsidP="00350AC2">
      <w:pPr>
        <w:pStyle w:val="Listenabsatz"/>
        <w:numPr>
          <w:ilvl w:val="0"/>
          <w:numId w:val="3"/>
        </w:numPr>
        <w:spacing w:line="288" w:lineRule="auto"/>
        <w:ind w:left="426" w:hanging="426"/>
        <w:jc w:val="both"/>
        <w:rPr>
          <w:b/>
          <w:sz w:val="22"/>
          <w:szCs w:val="22"/>
        </w:rPr>
      </w:pPr>
      <w:r w:rsidRPr="00AC665A">
        <w:rPr>
          <w:sz w:val="22"/>
          <w:szCs w:val="22"/>
        </w:rPr>
        <w:t>Es bestand ein ausgebautes Kreditsystem, d.</w:t>
      </w:r>
      <w:r w:rsidR="007A238A" w:rsidRPr="00AC665A">
        <w:rPr>
          <w:sz w:val="22"/>
          <w:szCs w:val="22"/>
        </w:rPr>
        <w:t xml:space="preserve"> </w:t>
      </w:r>
      <w:r w:rsidRPr="00AC665A">
        <w:rPr>
          <w:sz w:val="22"/>
          <w:szCs w:val="22"/>
        </w:rPr>
        <w:t xml:space="preserve">h. ein </w:t>
      </w:r>
      <w:r w:rsidRPr="00AC665A">
        <w:rPr>
          <w:b/>
          <w:sz w:val="22"/>
          <w:szCs w:val="22"/>
        </w:rPr>
        <w:t>Währungsbeistand.</w:t>
      </w:r>
    </w:p>
    <w:p w14:paraId="380F6FC9" w14:textId="77777777" w:rsidR="00350AC2" w:rsidRPr="00AC665A" w:rsidRDefault="00350AC2" w:rsidP="00350AC2">
      <w:pPr>
        <w:spacing w:line="288" w:lineRule="auto"/>
        <w:jc w:val="both"/>
        <w:rPr>
          <w:sz w:val="22"/>
          <w:szCs w:val="22"/>
        </w:rPr>
      </w:pPr>
    </w:p>
    <w:p w14:paraId="43404DF5" w14:textId="53529B7D" w:rsidR="00350AC2" w:rsidRPr="00AC665A" w:rsidRDefault="00350AC2" w:rsidP="00350AC2">
      <w:pPr>
        <w:spacing w:line="288" w:lineRule="auto"/>
        <w:jc w:val="both"/>
        <w:rPr>
          <w:sz w:val="22"/>
          <w:szCs w:val="22"/>
        </w:rPr>
      </w:pPr>
      <w:r w:rsidRPr="00AC665A">
        <w:rPr>
          <w:sz w:val="22"/>
          <w:szCs w:val="22"/>
        </w:rPr>
        <w:t xml:space="preserve">Wir wollen nachfolgend einige Grundzüge dieses Systems darstellen. Nehmen wir </w:t>
      </w:r>
      <w:r w:rsidR="00263B0B" w:rsidRPr="00AC665A">
        <w:rPr>
          <w:sz w:val="22"/>
          <w:szCs w:val="22"/>
        </w:rPr>
        <w:t xml:space="preserve">dafür </w:t>
      </w:r>
      <w:r w:rsidRPr="00AC665A">
        <w:rPr>
          <w:sz w:val="22"/>
          <w:szCs w:val="22"/>
        </w:rPr>
        <w:t xml:space="preserve">an, das EWS besteht vereinfacht nur aus drei Ländern (Deutschland, Frankreich, Italien), deren Währungen folgende bilateralen Leitkurse aufweisen (hier in Mengennotierung): </w:t>
      </w:r>
    </w:p>
    <w:p w14:paraId="14FB84FA" w14:textId="77777777" w:rsidR="00350AC2" w:rsidRPr="00AC665A" w:rsidRDefault="00350AC2" w:rsidP="00350AC2">
      <w:pPr>
        <w:spacing w:line="288" w:lineRule="auto"/>
        <w:rPr>
          <w:sz w:val="22"/>
          <w:szCs w:val="22"/>
        </w:rPr>
      </w:pPr>
      <w:r w:rsidRPr="00AC665A">
        <w:rPr>
          <w:sz w:val="22"/>
          <w:szCs w:val="22"/>
        </w:rPr>
        <w:t xml:space="preserve">DM zu </w:t>
      </w:r>
      <w:proofErr w:type="gramStart"/>
      <w:r w:rsidRPr="00AC665A">
        <w:rPr>
          <w:sz w:val="22"/>
          <w:szCs w:val="22"/>
        </w:rPr>
        <w:t>Franc  =</w:t>
      </w:r>
      <w:proofErr w:type="gramEnd"/>
      <w:r w:rsidRPr="00AC665A">
        <w:rPr>
          <w:sz w:val="22"/>
          <w:szCs w:val="22"/>
        </w:rPr>
        <w:t xml:space="preserve">  1 : 2</w:t>
      </w:r>
    </w:p>
    <w:p w14:paraId="10291D8D" w14:textId="77777777" w:rsidR="00350AC2" w:rsidRPr="00AC665A" w:rsidRDefault="00350AC2" w:rsidP="00350AC2">
      <w:pPr>
        <w:spacing w:line="288" w:lineRule="auto"/>
        <w:rPr>
          <w:sz w:val="22"/>
          <w:szCs w:val="22"/>
        </w:rPr>
      </w:pPr>
      <w:r w:rsidRPr="00AC665A">
        <w:rPr>
          <w:sz w:val="22"/>
          <w:szCs w:val="22"/>
        </w:rPr>
        <w:t xml:space="preserve">DM zu Lira     </w:t>
      </w:r>
      <w:proofErr w:type="gramStart"/>
      <w:r w:rsidRPr="00AC665A">
        <w:rPr>
          <w:sz w:val="22"/>
          <w:szCs w:val="22"/>
        </w:rPr>
        <w:t>=  1</w:t>
      </w:r>
      <w:proofErr w:type="gramEnd"/>
      <w:r w:rsidRPr="00AC665A">
        <w:rPr>
          <w:sz w:val="22"/>
          <w:szCs w:val="22"/>
        </w:rPr>
        <w:t xml:space="preserve"> : 4</w:t>
      </w:r>
    </w:p>
    <w:p w14:paraId="145F5C94" w14:textId="77777777" w:rsidR="00350AC2" w:rsidRPr="00AC665A" w:rsidRDefault="00350AC2" w:rsidP="00350AC2">
      <w:pPr>
        <w:spacing w:line="288" w:lineRule="auto"/>
        <w:rPr>
          <w:sz w:val="22"/>
          <w:szCs w:val="22"/>
        </w:rPr>
      </w:pPr>
      <w:r w:rsidRPr="00AC665A">
        <w:rPr>
          <w:sz w:val="22"/>
          <w:szCs w:val="22"/>
        </w:rPr>
        <w:t xml:space="preserve">Franc zu </w:t>
      </w:r>
      <w:proofErr w:type="gramStart"/>
      <w:r w:rsidRPr="00AC665A">
        <w:rPr>
          <w:sz w:val="22"/>
          <w:szCs w:val="22"/>
        </w:rPr>
        <w:t>Lira  =</w:t>
      </w:r>
      <w:proofErr w:type="gramEnd"/>
      <w:r w:rsidRPr="00AC665A">
        <w:rPr>
          <w:sz w:val="22"/>
          <w:szCs w:val="22"/>
        </w:rPr>
        <w:t xml:space="preserve">  1 : 2</w:t>
      </w:r>
    </w:p>
    <w:p w14:paraId="296F4FA4" w14:textId="77777777" w:rsidR="00350AC2" w:rsidRPr="00AC665A" w:rsidRDefault="00350AC2" w:rsidP="00350AC2">
      <w:pPr>
        <w:spacing w:line="288" w:lineRule="auto"/>
        <w:rPr>
          <w:sz w:val="22"/>
          <w:szCs w:val="22"/>
        </w:rPr>
      </w:pPr>
      <w:r w:rsidRPr="00AC665A">
        <w:rPr>
          <w:sz w:val="22"/>
          <w:szCs w:val="22"/>
        </w:rPr>
        <w:t xml:space="preserve">Der vereinbarte Währungskorb lautet: 1 </w:t>
      </w:r>
      <w:proofErr w:type="gramStart"/>
      <w:r w:rsidRPr="00AC665A">
        <w:rPr>
          <w:sz w:val="22"/>
          <w:szCs w:val="22"/>
        </w:rPr>
        <w:t>ECU  =</w:t>
      </w:r>
      <w:proofErr w:type="gramEnd"/>
      <w:r w:rsidRPr="00AC665A">
        <w:rPr>
          <w:sz w:val="22"/>
          <w:szCs w:val="22"/>
        </w:rPr>
        <w:t xml:space="preserve">  4 DM  +  2 Franc  +  1 Lira</w:t>
      </w:r>
    </w:p>
    <w:p w14:paraId="2E4F110F" w14:textId="77777777" w:rsidR="00350AC2" w:rsidRPr="00AC665A" w:rsidRDefault="00350AC2" w:rsidP="00350AC2">
      <w:pPr>
        <w:spacing w:line="288" w:lineRule="auto"/>
        <w:rPr>
          <w:sz w:val="22"/>
          <w:szCs w:val="22"/>
        </w:rPr>
      </w:pPr>
    </w:p>
    <w:p w14:paraId="2A4E350E" w14:textId="2B9934E3" w:rsidR="00350AC2" w:rsidRPr="00AC665A" w:rsidRDefault="00350AC2" w:rsidP="00350AC2">
      <w:pPr>
        <w:spacing w:line="288" w:lineRule="auto"/>
        <w:rPr>
          <w:sz w:val="22"/>
          <w:szCs w:val="22"/>
        </w:rPr>
      </w:pPr>
      <w:r w:rsidRPr="00AC665A">
        <w:rPr>
          <w:sz w:val="22"/>
          <w:szCs w:val="22"/>
        </w:rPr>
        <w:t>Die ECU-bezogenen Leitkurse der Währungen lauten</w:t>
      </w:r>
      <w:r w:rsidR="00263B0B" w:rsidRPr="00AC665A">
        <w:rPr>
          <w:sz w:val="22"/>
          <w:szCs w:val="22"/>
        </w:rPr>
        <w:t xml:space="preserve"> in diesem Fall</w:t>
      </w:r>
      <w:r w:rsidRPr="00AC665A">
        <w:rPr>
          <w:sz w:val="22"/>
          <w:szCs w:val="22"/>
        </w:rPr>
        <w:t>:</w:t>
      </w:r>
    </w:p>
    <w:p w14:paraId="1556344D" w14:textId="77777777" w:rsidR="00350AC2" w:rsidRPr="00AC665A" w:rsidRDefault="00350AC2" w:rsidP="00350AC2">
      <w:pPr>
        <w:spacing w:line="288" w:lineRule="auto"/>
        <w:rPr>
          <w:sz w:val="22"/>
          <w:szCs w:val="22"/>
        </w:rPr>
      </w:pPr>
      <w:r w:rsidRPr="00AC665A">
        <w:rPr>
          <w:sz w:val="22"/>
          <w:szCs w:val="22"/>
        </w:rPr>
        <w:t xml:space="preserve">1 </w:t>
      </w:r>
      <w:proofErr w:type="gramStart"/>
      <w:r w:rsidRPr="00AC665A">
        <w:rPr>
          <w:sz w:val="22"/>
          <w:szCs w:val="22"/>
        </w:rPr>
        <w:t>ECU  =</w:t>
      </w:r>
      <w:proofErr w:type="gramEnd"/>
      <w:r w:rsidRPr="00AC665A">
        <w:rPr>
          <w:sz w:val="22"/>
          <w:szCs w:val="22"/>
        </w:rPr>
        <w:t xml:space="preserve">  4 DM  +  1 DM  +  0,25 DM  =  5,25 DM</w:t>
      </w:r>
    </w:p>
    <w:p w14:paraId="27213C20" w14:textId="10513813" w:rsidR="00350AC2" w:rsidRPr="00AC665A" w:rsidRDefault="00350AC2" w:rsidP="00350AC2">
      <w:pPr>
        <w:spacing w:line="288" w:lineRule="auto"/>
        <w:rPr>
          <w:sz w:val="22"/>
          <w:szCs w:val="22"/>
        </w:rPr>
      </w:pPr>
      <w:r w:rsidRPr="00AC665A">
        <w:rPr>
          <w:sz w:val="22"/>
          <w:szCs w:val="22"/>
        </w:rPr>
        <w:t xml:space="preserve">1 </w:t>
      </w:r>
      <w:proofErr w:type="gramStart"/>
      <w:r w:rsidRPr="00AC665A">
        <w:rPr>
          <w:sz w:val="22"/>
          <w:szCs w:val="22"/>
        </w:rPr>
        <w:t>ECU  =</w:t>
      </w:r>
      <w:proofErr w:type="gramEnd"/>
      <w:r w:rsidRPr="00AC665A">
        <w:rPr>
          <w:sz w:val="22"/>
          <w:szCs w:val="22"/>
        </w:rPr>
        <w:t xml:space="preserve">  8 Franc  +  </w:t>
      </w:r>
      <w:r w:rsidR="00263B0B" w:rsidRPr="00AC665A">
        <w:rPr>
          <w:sz w:val="22"/>
          <w:szCs w:val="22"/>
        </w:rPr>
        <w:t>2</w:t>
      </w:r>
      <w:r w:rsidRPr="00AC665A">
        <w:rPr>
          <w:sz w:val="22"/>
          <w:szCs w:val="22"/>
        </w:rPr>
        <w:t xml:space="preserve"> Franc  +  0,5 Franc  =  10,5 Franc</w:t>
      </w:r>
    </w:p>
    <w:p w14:paraId="410C5C69" w14:textId="77777777" w:rsidR="00350AC2" w:rsidRPr="00AC665A" w:rsidRDefault="00350AC2" w:rsidP="00350AC2">
      <w:pPr>
        <w:spacing w:line="288" w:lineRule="auto"/>
        <w:rPr>
          <w:sz w:val="22"/>
          <w:szCs w:val="22"/>
        </w:rPr>
      </w:pPr>
      <w:r w:rsidRPr="00AC665A">
        <w:rPr>
          <w:sz w:val="22"/>
          <w:szCs w:val="22"/>
        </w:rPr>
        <w:t xml:space="preserve">1 </w:t>
      </w:r>
      <w:proofErr w:type="gramStart"/>
      <w:r w:rsidRPr="00AC665A">
        <w:rPr>
          <w:sz w:val="22"/>
          <w:szCs w:val="22"/>
        </w:rPr>
        <w:t>ECU  =</w:t>
      </w:r>
      <w:proofErr w:type="gramEnd"/>
      <w:r w:rsidRPr="00AC665A">
        <w:rPr>
          <w:sz w:val="22"/>
          <w:szCs w:val="22"/>
        </w:rPr>
        <w:t xml:space="preserve">  16 Lira  +  4 Lira  +  1 Lira  =  21 Lira</w:t>
      </w:r>
    </w:p>
    <w:p w14:paraId="1241F83F" w14:textId="77777777" w:rsidR="00350AC2" w:rsidRPr="00AC665A" w:rsidRDefault="00350AC2" w:rsidP="00350AC2">
      <w:pPr>
        <w:spacing w:line="288" w:lineRule="auto"/>
        <w:rPr>
          <w:sz w:val="22"/>
          <w:szCs w:val="22"/>
        </w:rPr>
      </w:pPr>
    </w:p>
    <w:p w14:paraId="4E6161F2" w14:textId="2987DF3A" w:rsidR="00350AC2" w:rsidRPr="00AC665A" w:rsidRDefault="00350AC2" w:rsidP="00431FB2">
      <w:pPr>
        <w:spacing w:line="288" w:lineRule="auto"/>
        <w:jc w:val="both"/>
        <w:rPr>
          <w:sz w:val="22"/>
          <w:szCs w:val="22"/>
        </w:rPr>
      </w:pPr>
      <w:r w:rsidRPr="00AC665A">
        <w:rPr>
          <w:sz w:val="22"/>
          <w:szCs w:val="22"/>
        </w:rPr>
        <w:t>Diese Leitkurse sind die am Devisenmarkt gültigen Paritäten. Die maximale Schwankungsbreite wird auf +/-2,25</w:t>
      </w:r>
      <w:r w:rsidR="00991205" w:rsidRPr="00AC665A">
        <w:rPr>
          <w:sz w:val="22"/>
          <w:szCs w:val="22"/>
        </w:rPr>
        <w:t xml:space="preserve"> Prozent</w:t>
      </w:r>
      <w:r w:rsidRPr="00AC665A">
        <w:rPr>
          <w:sz w:val="22"/>
          <w:szCs w:val="22"/>
        </w:rPr>
        <w:t xml:space="preserve"> festgesetzt. Italien bildet eine Ausnahme mit +/-6</w:t>
      </w:r>
      <w:r w:rsidR="00991205" w:rsidRPr="00AC665A">
        <w:rPr>
          <w:sz w:val="22"/>
          <w:szCs w:val="22"/>
        </w:rPr>
        <w:t xml:space="preserve"> Prozent</w:t>
      </w:r>
      <w:r w:rsidRPr="00AC665A">
        <w:rPr>
          <w:sz w:val="22"/>
          <w:szCs w:val="22"/>
        </w:rPr>
        <w:t xml:space="preserve">. Aus diesen Angaben lässt sich ein </w:t>
      </w:r>
      <w:proofErr w:type="spellStart"/>
      <w:r w:rsidRPr="00AC665A">
        <w:rPr>
          <w:sz w:val="22"/>
          <w:szCs w:val="22"/>
        </w:rPr>
        <w:t>Paritätengitter</w:t>
      </w:r>
      <w:proofErr w:type="spellEnd"/>
      <w:r w:rsidRPr="00AC665A">
        <w:rPr>
          <w:sz w:val="22"/>
          <w:szCs w:val="22"/>
        </w:rPr>
        <w:t xml:space="preserve"> errechnen (Tab. </w:t>
      </w:r>
      <w:r w:rsidR="00263B0B" w:rsidRPr="00AC665A">
        <w:rPr>
          <w:sz w:val="22"/>
          <w:szCs w:val="22"/>
        </w:rPr>
        <w:t>E.</w:t>
      </w:r>
      <w:r w:rsidRPr="00AC665A">
        <w:rPr>
          <w:sz w:val="22"/>
          <w:szCs w:val="22"/>
        </w:rPr>
        <w:t>20.</w:t>
      </w:r>
      <w:r w:rsidR="00263B0B" w:rsidRPr="00AC665A">
        <w:rPr>
          <w:sz w:val="22"/>
          <w:szCs w:val="22"/>
        </w:rPr>
        <w:t>1</w:t>
      </w:r>
      <w:r w:rsidRPr="00AC665A">
        <w:rPr>
          <w:sz w:val="22"/>
          <w:szCs w:val="22"/>
        </w:rPr>
        <w:t xml:space="preserve">). </w:t>
      </w:r>
    </w:p>
    <w:p w14:paraId="061ABEE6" w14:textId="4B1A39B9" w:rsidR="00263B0B" w:rsidRPr="00AC665A" w:rsidRDefault="00263B0B" w:rsidP="00350AC2">
      <w:pPr>
        <w:spacing w:line="288" w:lineRule="auto"/>
        <w:rPr>
          <w:sz w:val="22"/>
          <w:szCs w:val="22"/>
        </w:rPr>
      </w:pPr>
    </w:p>
    <w:p w14:paraId="48254293" w14:textId="5877EF79" w:rsidR="00263B0B" w:rsidRPr="00AC665A" w:rsidRDefault="00263B0B" w:rsidP="00350AC2">
      <w:pPr>
        <w:spacing w:line="288" w:lineRule="auto"/>
        <w:rPr>
          <w:sz w:val="22"/>
          <w:szCs w:val="22"/>
        </w:rPr>
      </w:pPr>
    </w:p>
    <w:p w14:paraId="0C2AC848" w14:textId="60522508" w:rsidR="00263B0B" w:rsidRPr="00AC665A" w:rsidRDefault="00263B0B" w:rsidP="00350AC2">
      <w:pPr>
        <w:spacing w:line="288" w:lineRule="auto"/>
        <w:rPr>
          <w:sz w:val="22"/>
          <w:szCs w:val="22"/>
        </w:rPr>
      </w:pPr>
    </w:p>
    <w:p w14:paraId="4A638A8F" w14:textId="77777777" w:rsidR="00263B0B" w:rsidRPr="00AC665A" w:rsidRDefault="00263B0B" w:rsidP="00350AC2">
      <w:pPr>
        <w:spacing w:line="288" w:lineRule="auto"/>
        <w:rPr>
          <w:sz w:val="22"/>
          <w:szCs w:val="22"/>
        </w:rPr>
      </w:pPr>
    </w:p>
    <w:p w14:paraId="08F76B2B" w14:textId="64D04090" w:rsidR="00350AC2" w:rsidRPr="00AC665A" w:rsidRDefault="00350AC2" w:rsidP="00350AC2">
      <w:pPr>
        <w:spacing w:before="240" w:after="240"/>
        <w:rPr>
          <w:b/>
          <w:bCs/>
          <w:sz w:val="22"/>
          <w:szCs w:val="22"/>
        </w:rPr>
      </w:pPr>
      <w:r w:rsidRPr="00AC665A">
        <w:rPr>
          <w:b/>
          <w:bCs/>
          <w:sz w:val="22"/>
          <w:szCs w:val="22"/>
        </w:rPr>
        <w:lastRenderedPageBreak/>
        <w:t>Stabilisierung der Wechselkurse im EWS</w:t>
      </w:r>
    </w:p>
    <w:p w14:paraId="16D6F377" w14:textId="77777777" w:rsidR="00350AC2" w:rsidRPr="00AC665A" w:rsidRDefault="00350AC2" w:rsidP="00350AC2">
      <w:pPr>
        <w:spacing w:line="288" w:lineRule="auto"/>
        <w:jc w:val="both"/>
        <w:rPr>
          <w:bCs/>
          <w:sz w:val="22"/>
          <w:szCs w:val="22"/>
        </w:rPr>
      </w:pPr>
      <w:r w:rsidRPr="00AC665A">
        <w:rPr>
          <w:bCs/>
          <w:sz w:val="22"/>
          <w:szCs w:val="22"/>
        </w:rPr>
        <w:t xml:space="preserve">Nehmen wir nun an, dass die Handels- und Dienstleistungsbilanz Deutschlands im bilateralen Austausch von Waren und Dienstleistungen mit Frankreich dauerhafte Überschüsse (Exporte nach Frankreich &gt; Importe aus Frankreich) aufweist und das Zinsniveau in Deutschland über jenem in Frankreich liegt. </w:t>
      </w:r>
    </w:p>
    <w:p w14:paraId="4F46E177" w14:textId="44A2B83C" w:rsidR="00350AC2" w:rsidRPr="00AC665A" w:rsidRDefault="00350AC2" w:rsidP="00350AC2">
      <w:pPr>
        <w:spacing w:line="288" w:lineRule="auto"/>
        <w:rPr>
          <w:sz w:val="20"/>
        </w:rPr>
      </w:pPr>
    </w:p>
    <w:p w14:paraId="526CB013" w14:textId="77777777" w:rsidR="00900AC8" w:rsidRPr="00AC665A" w:rsidRDefault="00900AC8" w:rsidP="00900AC8">
      <w:pPr>
        <w:spacing w:after="120" w:line="288" w:lineRule="auto"/>
        <w:jc w:val="center"/>
        <w:rPr>
          <w:i/>
          <w:sz w:val="22"/>
          <w:szCs w:val="22"/>
        </w:rPr>
      </w:pPr>
      <w:r w:rsidRPr="00AC665A">
        <w:rPr>
          <w:i/>
          <w:sz w:val="22"/>
          <w:szCs w:val="22"/>
        </w:rPr>
        <w:t xml:space="preserve">Tab. E.20.1: </w:t>
      </w:r>
      <w:proofErr w:type="spellStart"/>
      <w:r w:rsidRPr="00AC665A">
        <w:rPr>
          <w:i/>
          <w:sz w:val="22"/>
          <w:szCs w:val="22"/>
        </w:rPr>
        <w:t>Paritätengitter</w:t>
      </w:r>
      <w:proofErr w:type="spellEnd"/>
      <w:r w:rsidRPr="00AC665A">
        <w:rPr>
          <w:i/>
          <w:sz w:val="22"/>
          <w:szCs w:val="22"/>
        </w:rPr>
        <w:t xml:space="preserve"> im EWS</w:t>
      </w:r>
    </w:p>
    <w:tbl>
      <w:tblPr>
        <w:tblW w:w="0" w:type="auto"/>
        <w:tblInd w:w="250" w:type="dxa"/>
        <w:tblLayout w:type="fixed"/>
        <w:tblCellMar>
          <w:left w:w="70" w:type="dxa"/>
          <w:right w:w="70" w:type="dxa"/>
        </w:tblCellMar>
        <w:tblLook w:val="0000" w:firstRow="0" w:lastRow="0" w:firstColumn="0" w:lastColumn="0" w:noHBand="0" w:noVBand="0"/>
      </w:tblPr>
      <w:tblGrid>
        <w:gridCol w:w="2010"/>
        <w:gridCol w:w="2011"/>
        <w:gridCol w:w="2010"/>
        <w:gridCol w:w="2011"/>
      </w:tblGrid>
      <w:tr w:rsidR="00350AC2" w:rsidRPr="00AC665A" w14:paraId="47B4D020" w14:textId="77777777" w:rsidTr="00991205">
        <w:trPr>
          <w:cantSplit/>
          <w:trHeight w:val="567"/>
        </w:trPr>
        <w:tc>
          <w:tcPr>
            <w:tcW w:w="2010" w:type="dxa"/>
            <w:tcBorders>
              <w:top w:val="single" w:sz="12" w:space="0" w:color="auto"/>
              <w:left w:val="single" w:sz="12" w:space="0" w:color="auto"/>
              <w:bottom w:val="single" w:sz="6" w:space="0" w:color="auto"/>
              <w:right w:val="single" w:sz="6" w:space="0" w:color="auto"/>
            </w:tcBorders>
            <w:shd w:val="clear" w:color="auto" w:fill="D9D9D9" w:themeFill="background1" w:themeFillShade="D9"/>
            <w:vAlign w:val="center"/>
          </w:tcPr>
          <w:p w14:paraId="6D4465C6" w14:textId="77777777" w:rsidR="00350AC2" w:rsidRPr="00AC665A" w:rsidRDefault="00350AC2" w:rsidP="00900AC8">
            <w:pPr>
              <w:jc w:val="center"/>
              <w:rPr>
                <w:b/>
                <w:sz w:val="22"/>
                <w:szCs w:val="22"/>
              </w:rPr>
            </w:pPr>
            <w:proofErr w:type="spellStart"/>
            <w:r w:rsidRPr="00AC665A">
              <w:rPr>
                <w:b/>
                <w:sz w:val="22"/>
                <w:szCs w:val="22"/>
              </w:rPr>
              <w:t>Paritätengitter</w:t>
            </w:r>
            <w:proofErr w:type="spellEnd"/>
          </w:p>
        </w:tc>
        <w:tc>
          <w:tcPr>
            <w:tcW w:w="2011" w:type="dxa"/>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74014B12" w14:textId="77777777" w:rsidR="00350AC2" w:rsidRPr="00AC665A" w:rsidRDefault="00350AC2" w:rsidP="00900AC8">
            <w:pPr>
              <w:jc w:val="center"/>
              <w:rPr>
                <w:b/>
                <w:sz w:val="22"/>
                <w:szCs w:val="22"/>
              </w:rPr>
            </w:pPr>
            <w:r w:rsidRPr="00AC665A">
              <w:rPr>
                <w:b/>
                <w:sz w:val="22"/>
                <w:szCs w:val="22"/>
              </w:rPr>
              <w:t>Frankfurt in DM</w:t>
            </w:r>
          </w:p>
        </w:tc>
        <w:tc>
          <w:tcPr>
            <w:tcW w:w="2010" w:type="dxa"/>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70A9F257" w14:textId="77777777" w:rsidR="00350AC2" w:rsidRPr="00AC665A" w:rsidRDefault="00350AC2" w:rsidP="00900AC8">
            <w:pPr>
              <w:jc w:val="center"/>
              <w:rPr>
                <w:b/>
                <w:sz w:val="22"/>
                <w:szCs w:val="22"/>
              </w:rPr>
            </w:pPr>
            <w:r w:rsidRPr="00AC665A">
              <w:rPr>
                <w:b/>
                <w:sz w:val="22"/>
                <w:szCs w:val="22"/>
              </w:rPr>
              <w:t>Paris in Franc</w:t>
            </w:r>
          </w:p>
        </w:tc>
        <w:tc>
          <w:tcPr>
            <w:tcW w:w="2011" w:type="dxa"/>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14:paraId="42C2D6BC" w14:textId="77777777" w:rsidR="00350AC2" w:rsidRPr="00AC665A" w:rsidRDefault="00350AC2" w:rsidP="00900AC8">
            <w:pPr>
              <w:jc w:val="center"/>
              <w:rPr>
                <w:b/>
                <w:sz w:val="22"/>
                <w:szCs w:val="22"/>
              </w:rPr>
            </w:pPr>
            <w:r w:rsidRPr="00AC665A">
              <w:rPr>
                <w:b/>
                <w:sz w:val="22"/>
                <w:szCs w:val="22"/>
              </w:rPr>
              <w:t>Rom in Lira</w:t>
            </w:r>
          </w:p>
        </w:tc>
      </w:tr>
      <w:tr w:rsidR="00350AC2" w:rsidRPr="00AC665A" w14:paraId="6AA3737C" w14:textId="77777777" w:rsidTr="00991205">
        <w:trPr>
          <w:cantSplit/>
          <w:trHeight w:val="850"/>
        </w:trPr>
        <w:tc>
          <w:tcPr>
            <w:tcW w:w="2010" w:type="dxa"/>
            <w:tcBorders>
              <w:top w:val="single" w:sz="6" w:space="0" w:color="auto"/>
              <w:left w:val="single" w:sz="12" w:space="0" w:color="auto"/>
              <w:bottom w:val="single" w:sz="6" w:space="0" w:color="auto"/>
              <w:right w:val="single" w:sz="6" w:space="0" w:color="auto"/>
            </w:tcBorders>
          </w:tcPr>
          <w:p w14:paraId="7EA12FB1" w14:textId="385B5119" w:rsidR="00350AC2" w:rsidRPr="00AC665A" w:rsidRDefault="00350AC2" w:rsidP="00900AC8">
            <w:pPr>
              <w:jc w:val="center"/>
              <w:rPr>
                <w:sz w:val="22"/>
                <w:szCs w:val="22"/>
              </w:rPr>
            </w:pPr>
            <w:r w:rsidRPr="00AC665A">
              <w:rPr>
                <w:sz w:val="22"/>
                <w:szCs w:val="22"/>
              </w:rPr>
              <w:t>+2,25</w:t>
            </w:r>
            <w:r w:rsidR="00991205" w:rsidRPr="00AC665A">
              <w:rPr>
                <w:sz w:val="22"/>
                <w:szCs w:val="22"/>
              </w:rPr>
              <w:t xml:space="preserve"> </w:t>
            </w:r>
            <w:r w:rsidRPr="00AC665A">
              <w:rPr>
                <w:sz w:val="22"/>
                <w:szCs w:val="22"/>
              </w:rPr>
              <w:t>%</w:t>
            </w:r>
          </w:p>
          <w:p w14:paraId="08AF91DD" w14:textId="77777777" w:rsidR="00350AC2" w:rsidRPr="00AC665A" w:rsidRDefault="00350AC2" w:rsidP="00900AC8">
            <w:pPr>
              <w:jc w:val="center"/>
              <w:rPr>
                <w:sz w:val="22"/>
                <w:szCs w:val="22"/>
              </w:rPr>
            </w:pPr>
            <w:r w:rsidRPr="00AC665A">
              <w:rPr>
                <w:sz w:val="22"/>
                <w:szCs w:val="22"/>
              </w:rPr>
              <w:t>100 DM</w:t>
            </w:r>
          </w:p>
          <w:p w14:paraId="527B88CD" w14:textId="4C5C6126" w:rsidR="00350AC2" w:rsidRPr="00AC665A" w:rsidRDefault="00350AC2" w:rsidP="00900AC8">
            <w:pPr>
              <w:jc w:val="center"/>
              <w:rPr>
                <w:sz w:val="22"/>
                <w:szCs w:val="22"/>
              </w:rPr>
            </w:pPr>
            <w:r w:rsidRPr="00AC665A">
              <w:rPr>
                <w:sz w:val="22"/>
                <w:szCs w:val="22"/>
              </w:rPr>
              <w:t>-2,25</w:t>
            </w:r>
            <w:r w:rsidR="00991205" w:rsidRPr="00AC665A">
              <w:rPr>
                <w:sz w:val="22"/>
                <w:szCs w:val="22"/>
              </w:rPr>
              <w:t xml:space="preserve"> </w:t>
            </w:r>
            <w:r w:rsidRPr="00AC665A">
              <w:rPr>
                <w:sz w:val="22"/>
                <w:szCs w:val="22"/>
              </w:rPr>
              <w:t>%</w:t>
            </w:r>
          </w:p>
        </w:tc>
        <w:tc>
          <w:tcPr>
            <w:tcW w:w="2011" w:type="dxa"/>
            <w:tcBorders>
              <w:top w:val="single" w:sz="6" w:space="0" w:color="auto"/>
              <w:left w:val="single" w:sz="6" w:space="0" w:color="auto"/>
              <w:bottom w:val="single" w:sz="6" w:space="0" w:color="auto"/>
              <w:right w:val="single" w:sz="6" w:space="0" w:color="auto"/>
            </w:tcBorders>
            <w:vAlign w:val="center"/>
          </w:tcPr>
          <w:p w14:paraId="683BFF2E" w14:textId="77777777" w:rsidR="00350AC2" w:rsidRPr="00AC665A" w:rsidRDefault="00350AC2" w:rsidP="004565AA">
            <w:pPr>
              <w:jc w:val="center"/>
              <w:rPr>
                <w:sz w:val="22"/>
                <w:szCs w:val="22"/>
              </w:rPr>
            </w:pPr>
          </w:p>
          <w:p w14:paraId="60B97854" w14:textId="77777777" w:rsidR="00350AC2" w:rsidRPr="00AC665A" w:rsidRDefault="00350AC2" w:rsidP="004565AA">
            <w:pPr>
              <w:jc w:val="center"/>
              <w:rPr>
                <w:sz w:val="22"/>
                <w:szCs w:val="22"/>
              </w:rPr>
            </w:pPr>
            <w:r w:rsidRPr="00AC665A">
              <w:rPr>
                <w:sz w:val="22"/>
                <w:szCs w:val="22"/>
              </w:rPr>
              <w:t>100</w:t>
            </w:r>
          </w:p>
        </w:tc>
        <w:tc>
          <w:tcPr>
            <w:tcW w:w="2010" w:type="dxa"/>
            <w:tcBorders>
              <w:top w:val="single" w:sz="6" w:space="0" w:color="auto"/>
              <w:left w:val="single" w:sz="6" w:space="0" w:color="auto"/>
              <w:bottom w:val="single" w:sz="6" w:space="0" w:color="auto"/>
              <w:right w:val="single" w:sz="6" w:space="0" w:color="auto"/>
            </w:tcBorders>
            <w:vAlign w:val="center"/>
          </w:tcPr>
          <w:p w14:paraId="464A0894" w14:textId="77777777" w:rsidR="00350AC2" w:rsidRPr="00AC665A" w:rsidRDefault="00350AC2" w:rsidP="004565AA">
            <w:pPr>
              <w:jc w:val="center"/>
              <w:rPr>
                <w:sz w:val="22"/>
                <w:szCs w:val="22"/>
              </w:rPr>
            </w:pPr>
            <w:r w:rsidRPr="00AC665A">
              <w:rPr>
                <w:sz w:val="22"/>
                <w:szCs w:val="22"/>
              </w:rPr>
              <w:t>204,5</w:t>
            </w:r>
          </w:p>
          <w:p w14:paraId="2137FC58" w14:textId="77777777" w:rsidR="00350AC2" w:rsidRPr="00AC665A" w:rsidRDefault="00350AC2" w:rsidP="004565AA">
            <w:pPr>
              <w:jc w:val="center"/>
              <w:rPr>
                <w:sz w:val="22"/>
                <w:szCs w:val="22"/>
              </w:rPr>
            </w:pPr>
            <w:r w:rsidRPr="00AC665A">
              <w:rPr>
                <w:sz w:val="22"/>
                <w:szCs w:val="22"/>
              </w:rPr>
              <w:t>200</w:t>
            </w:r>
          </w:p>
          <w:p w14:paraId="7BD888FE" w14:textId="77777777" w:rsidR="00350AC2" w:rsidRPr="00AC665A" w:rsidRDefault="00350AC2" w:rsidP="004565AA">
            <w:pPr>
              <w:jc w:val="center"/>
              <w:rPr>
                <w:sz w:val="22"/>
                <w:szCs w:val="22"/>
              </w:rPr>
            </w:pPr>
            <w:r w:rsidRPr="00AC665A">
              <w:rPr>
                <w:sz w:val="22"/>
                <w:szCs w:val="22"/>
              </w:rPr>
              <w:t>195,5</w:t>
            </w:r>
          </w:p>
        </w:tc>
        <w:tc>
          <w:tcPr>
            <w:tcW w:w="2011" w:type="dxa"/>
            <w:tcBorders>
              <w:top w:val="single" w:sz="6" w:space="0" w:color="auto"/>
              <w:left w:val="single" w:sz="6" w:space="0" w:color="auto"/>
              <w:bottom w:val="single" w:sz="6" w:space="0" w:color="auto"/>
              <w:right w:val="single" w:sz="12" w:space="0" w:color="auto"/>
            </w:tcBorders>
            <w:vAlign w:val="center"/>
          </w:tcPr>
          <w:p w14:paraId="3D0C6DFC" w14:textId="77777777" w:rsidR="00350AC2" w:rsidRPr="00AC665A" w:rsidRDefault="00350AC2" w:rsidP="004565AA">
            <w:pPr>
              <w:jc w:val="center"/>
              <w:rPr>
                <w:sz w:val="22"/>
                <w:szCs w:val="22"/>
              </w:rPr>
            </w:pPr>
            <w:r w:rsidRPr="00AC665A">
              <w:rPr>
                <w:sz w:val="22"/>
                <w:szCs w:val="22"/>
              </w:rPr>
              <w:t>424</w:t>
            </w:r>
          </w:p>
          <w:p w14:paraId="20E4442D" w14:textId="77777777" w:rsidR="00350AC2" w:rsidRPr="00AC665A" w:rsidRDefault="00350AC2" w:rsidP="004565AA">
            <w:pPr>
              <w:jc w:val="center"/>
              <w:rPr>
                <w:sz w:val="22"/>
                <w:szCs w:val="22"/>
              </w:rPr>
            </w:pPr>
            <w:r w:rsidRPr="00AC665A">
              <w:rPr>
                <w:sz w:val="22"/>
                <w:szCs w:val="22"/>
              </w:rPr>
              <w:t>400</w:t>
            </w:r>
          </w:p>
          <w:p w14:paraId="70182DD7" w14:textId="77777777" w:rsidR="00350AC2" w:rsidRPr="00AC665A" w:rsidRDefault="00350AC2" w:rsidP="004565AA">
            <w:pPr>
              <w:jc w:val="center"/>
              <w:rPr>
                <w:sz w:val="22"/>
                <w:szCs w:val="22"/>
              </w:rPr>
            </w:pPr>
            <w:r w:rsidRPr="00AC665A">
              <w:rPr>
                <w:sz w:val="22"/>
                <w:szCs w:val="22"/>
              </w:rPr>
              <w:t>376</w:t>
            </w:r>
          </w:p>
        </w:tc>
      </w:tr>
      <w:tr w:rsidR="00350AC2" w:rsidRPr="00AC665A" w14:paraId="1AB81FA9" w14:textId="77777777" w:rsidTr="00991205">
        <w:trPr>
          <w:cantSplit/>
          <w:trHeight w:val="850"/>
        </w:trPr>
        <w:tc>
          <w:tcPr>
            <w:tcW w:w="2010" w:type="dxa"/>
            <w:tcBorders>
              <w:top w:val="single" w:sz="6" w:space="0" w:color="auto"/>
              <w:left w:val="single" w:sz="12" w:space="0" w:color="auto"/>
              <w:bottom w:val="single" w:sz="6" w:space="0" w:color="auto"/>
              <w:right w:val="single" w:sz="6" w:space="0" w:color="auto"/>
            </w:tcBorders>
          </w:tcPr>
          <w:p w14:paraId="1B9248EC" w14:textId="22430CE4" w:rsidR="00350AC2" w:rsidRPr="00AC665A" w:rsidRDefault="00350AC2" w:rsidP="00900AC8">
            <w:pPr>
              <w:jc w:val="center"/>
              <w:rPr>
                <w:sz w:val="22"/>
                <w:szCs w:val="22"/>
              </w:rPr>
            </w:pPr>
            <w:r w:rsidRPr="00AC665A">
              <w:rPr>
                <w:sz w:val="22"/>
                <w:szCs w:val="22"/>
              </w:rPr>
              <w:t>+2,25</w:t>
            </w:r>
            <w:r w:rsidR="00991205" w:rsidRPr="00AC665A">
              <w:rPr>
                <w:sz w:val="22"/>
                <w:szCs w:val="22"/>
              </w:rPr>
              <w:t xml:space="preserve"> </w:t>
            </w:r>
            <w:r w:rsidRPr="00AC665A">
              <w:rPr>
                <w:sz w:val="22"/>
                <w:szCs w:val="22"/>
              </w:rPr>
              <w:t>%</w:t>
            </w:r>
          </w:p>
          <w:p w14:paraId="56043649" w14:textId="77777777" w:rsidR="00350AC2" w:rsidRPr="00AC665A" w:rsidRDefault="00350AC2" w:rsidP="00900AC8">
            <w:pPr>
              <w:jc w:val="center"/>
              <w:rPr>
                <w:sz w:val="22"/>
                <w:szCs w:val="22"/>
              </w:rPr>
            </w:pPr>
            <w:r w:rsidRPr="00AC665A">
              <w:rPr>
                <w:sz w:val="22"/>
                <w:szCs w:val="22"/>
              </w:rPr>
              <w:t>100 Franc</w:t>
            </w:r>
          </w:p>
          <w:p w14:paraId="7AA38354" w14:textId="0259DC12" w:rsidR="00350AC2" w:rsidRPr="00AC665A" w:rsidRDefault="00350AC2" w:rsidP="00900AC8">
            <w:pPr>
              <w:jc w:val="center"/>
              <w:rPr>
                <w:sz w:val="22"/>
                <w:szCs w:val="22"/>
              </w:rPr>
            </w:pPr>
            <w:r w:rsidRPr="00AC665A">
              <w:rPr>
                <w:sz w:val="22"/>
                <w:szCs w:val="22"/>
              </w:rPr>
              <w:t>-2,25</w:t>
            </w:r>
            <w:r w:rsidR="00991205" w:rsidRPr="00AC665A">
              <w:rPr>
                <w:sz w:val="22"/>
                <w:szCs w:val="22"/>
              </w:rPr>
              <w:t xml:space="preserve"> </w:t>
            </w:r>
            <w:r w:rsidRPr="00AC665A">
              <w:rPr>
                <w:sz w:val="22"/>
                <w:szCs w:val="22"/>
              </w:rPr>
              <w:t>%</w:t>
            </w:r>
          </w:p>
        </w:tc>
        <w:tc>
          <w:tcPr>
            <w:tcW w:w="2011" w:type="dxa"/>
            <w:tcBorders>
              <w:top w:val="single" w:sz="6" w:space="0" w:color="auto"/>
              <w:left w:val="single" w:sz="6" w:space="0" w:color="auto"/>
              <w:bottom w:val="single" w:sz="6" w:space="0" w:color="auto"/>
              <w:right w:val="single" w:sz="6" w:space="0" w:color="auto"/>
            </w:tcBorders>
            <w:vAlign w:val="center"/>
          </w:tcPr>
          <w:p w14:paraId="6DF23489" w14:textId="77777777" w:rsidR="00350AC2" w:rsidRPr="00AC665A" w:rsidRDefault="00350AC2" w:rsidP="004565AA">
            <w:pPr>
              <w:jc w:val="center"/>
              <w:rPr>
                <w:sz w:val="22"/>
                <w:szCs w:val="22"/>
              </w:rPr>
            </w:pPr>
            <w:r w:rsidRPr="00AC665A">
              <w:rPr>
                <w:sz w:val="22"/>
                <w:szCs w:val="22"/>
              </w:rPr>
              <w:t>51,125</w:t>
            </w:r>
          </w:p>
          <w:p w14:paraId="7FD651E5" w14:textId="77777777" w:rsidR="00350AC2" w:rsidRPr="00AC665A" w:rsidRDefault="00350AC2" w:rsidP="004565AA">
            <w:pPr>
              <w:jc w:val="center"/>
              <w:rPr>
                <w:sz w:val="22"/>
                <w:szCs w:val="22"/>
              </w:rPr>
            </w:pPr>
            <w:r w:rsidRPr="00AC665A">
              <w:rPr>
                <w:sz w:val="22"/>
                <w:szCs w:val="22"/>
              </w:rPr>
              <w:t>50</w:t>
            </w:r>
          </w:p>
          <w:p w14:paraId="5C10AE35" w14:textId="77777777" w:rsidR="00350AC2" w:rsidRPr="00AC665A" w:rsidRDefault="00350AC2" w:rsidP="004565AA">
            <w:pPr>
              <w:jc w:val="center"/>
              <w:rPr>
                <w:sz w:val="22"/>
                <w:szCs w:val="22"/>
              </w:rPr>
            </w:pPr>
            <w:r w:rsidRPr="00AC665A">
              <w:rPr>
                <w:sz w:val="22"/>
                <w:szCs w:val="22"/>
              </w:rPr>
              <w:t>48,875</w:t>
            </w:r>
          </w:p>
        </w:tc>
        <w:tc>
          <w:tcPr>
            <w:tcW w:w="2010" w:type="dxa"/>
            <w:tcBorders>
              <w:top w:val="single" w:sz="6" w:space="0" w:color="auto"/>
              <w:left w:val="single" w:sz="6" w:space="0" w:color="auto"/>
              <w:bottom w:val="single" w:sz="6" w:space="0" w:color="auto"/>
              <w:right w:val="single" w:sz="6" w:space="0" w:color="auto"/>
            </w:tcBorders>
            <w:vAlign w:val="center"/>
          </w:tcPr>
          <w:p w14:paraId="06F81660" w14:textId="77777777" w:rsidR="00350AC2" w:rsidRPr="00AC665A" w:rsidRDefault="00350AC2" w:rsidP="004565AA">
            <w:pPr>
              <w:jc w:val="center"/>
              <w:rPr>
                <w:sz w:val="22"/>
                <w:szCs w:val="22"/>
              </w:rPr>
            </w:pPr>
          </w:p>
          <w:p w14:paraId="767F22A9" w14:textId="77777777" w:rsidR="00350AC2" w:rsidRPr="00AC665A" w:rsidRDefault="00350AC2" w:rsidP="004565AA">
            <w:pPr>
              <w:jc w:val="center"/>
              <w:rPr>
                <w:sz w:val="22"/>
                <w:szCs w:val="22"/>
              </w:rPr>
            </w:pPr>
            <w:r w:rsidRPr="00AC665A">
              <w:rPr>
                <w:sz w:val="22"/>
                <w:szCs w:val="22"/>
              </w:rPr>
              <w:t>100</w:t>
            </w:r>
          </w:p>
          <w:p w14:paraId="066199AB" w14:textId="77777777" w:rsidR="00350AC2" w:rsidRPr="00AC665A" w:rsidRDefault="00350AC2" w:rsidP="004565AA">
            <w:pPr>
              <w:jc w:val="center"/>
              <w:rPr>
                <w:sz w:val="22"/>
                <w:szCs w:val="22"/>
              </w:rPr>
            </w:pPr>
          </w:p>
        </w:tc>
        <w:tc>
          <w:tcPr>
            <w:tcW w:w="2011" w:type="dxa"/>
            <w:tcBorders>
              <w:top w:val="single" w:sz="6" w:space="0" w:color="auto"/>
              <w:left w:val="single" w:sz="6" w:space="0" w:color="auto"/>
              <w:bottom w:val="single" w:sz="6" w:space="0" w:color="auto"/>
              <w:right w:val="single" w:sz="12" w:space="0" w:color="auto"/>
            </w:tcBorders>
            <w:vAlign w:val="center"/>
          </w:tcPr>
          <w:p w14:paraId="6950FABA" w14:textId="77777777" w:rsidR="00350AC2" w:rsidRPr="00AC665A" w:rsidRDefault="00350AC2" w:rsidP="004565AA">
            <w:pPr>
              <w:jc w:val="center"/>
              <w:rPr>
                <w:sz w:val="22"/>
                <w:szCs w:val="22"/>
              </w:rPr>
            </w:pPr>
            <w:r w:rsidRPr="00AC665A">
              <w:rPr>
                <w:sz w:val="22"/>
                <w:szCs w:val="22"/>
              </w:rPr>
              <w:t>212</w:t>
            </w:r>
          </w:p>
          <w:p w14:paraId="62AFA7F5" w14:textId="77777777" w:rsidR="00350AC2" w:rsidRPr="00AC665A" w:rsidRDefault="00350AC2" w:rsidP="004565AA">
            <w:pPr>
              <w:jc w:val="center"/>
              <w:rPr>
                <w:sz w:val="22"/>
                <w:szCs w:val="22"/>
              </w:rPr>
            </w:pPr>
            <w:r w:rsidRPr="00AC665A">
              <w:rPr>
                <w:sz w:val="22"/>
                <w:szCs w:val="22"/>
              </w:rPr>
              <w:t>200</w:t>
            </w:r>
          </w:p>
          <w:p w14:paraId="07CB3B8C" w14:textId="77777777" w:rsidR="00350AC2" w:rsidRPr="00AC665A" w:rsidRDefault="00350AC2" w:rsidP="004565AA">
            <w:pPr>
              <w:jc w:val="center"/>
              <w:rPr>
                <w:sz w:val="22"/>
                <w:szCs w:val="22"/>
              </w:rPr>
            </w:pPr>
            <w:r w:rsidRPr="00AC665A">
              <w:rPr>
                <w:sz w:val="22"/>
                <w:szCs w:val="22"/>
              </w:rPr>
              <w:t>188</w:t>
            </w:r>
          </w:p>
        </w:tc>
      </w:tr>
      <w:tr w:rsidR="00350AC2" w:rsidRPr="00AC665A" w14:paraId="0D37977B" w14:textId="77777777" w:rsidTr="00991205">
        <w:trPr>
          <w:cantSplit/>
          <w:trHeight w:val="850"/>
        </w:trPr>
        <w:tc>
          <w:tcPr>
            <w:tcW w:w="2010" w:type="dxa"/>
            <w:tcBorders>
              <w:top w:val="single" w:sz="6" w:space="0" w:color="auto"/>
              <w:left w:val="single" w:sz="12" w:space="0" w:color="auto"/>
              <w:bottom w:val="single" w:sz="12" w:space="0" w:color="auto"/>
              <w:right w:val="single" w:sz="6" w:space="0" w:color="auto"/>
            </w:tcBorders>
          </w:tcPr>
          <w:p w14:paraId="24A359E8" w14:textId="01525462" w:rsidR="00350AC2" w:rsidRPr="00AC665A" w:rsidRDefault="00350AC2" w:rsidP="00900AC8">
            <w:pPr>
              <w:jc w:val="center"/>
              <w:rPr>
                <w:sz w:val="22"/>
                <w:szCs w:val="22"/>
              </w:rPr>
            </w:pPr>
            <w:r w:rsidRPr="00AC665A">
              <w:rPr>
                <w:sz w:val="22"/>
                <w:szCs w:val="22"/>
              </w:rPr>
              <w:t>+6</w:t>
            </w:r>
            <w:r w:rsidR="00991205" w:rsidRPr="00AC665A">
              <w:rPr>
                <w:sz w:val="22"/>
                <w:szCs w:val="22"/>
              </w:rPr>
              <w:t xml:space="preserve"> </w:t>
            </w:r>
            <w:r w:rsidRPr="00AC665A">
              <w:rPr>
                <w:sz w:val="22"/>
                <w:szCs w:val="22"/>
              </w:rPr>
              <w:t>%</w:t>
            </w:r>
          </w:p>
          <w:p w14:paraId="29BCE602" w14:textId="77777777" w:rsidR="00350AC2" w:rsidRPr="00AC665A" w:rsidRDefault="00350AC2" w:rsidP="00900AC8">
            <w:pPr>
              <w:jc w:val="center"/>
              <w:rPr>
                <w:sz w:val="22"/>
                <w:szCs w:val="22"/>
              </w:rPr>
            </w:pPr>
            <w:r w:rsidRPr="00AC665A">
              <w:rPr>
                <w:sz w:val="22"/>
                <w:szCs w:val="22"/>
              </w:rPr>
              <w:t>100 Lira</w:t>
            </w:r>
          </w:p>
          <w:p w14:paraId="4ED0B491" w14:textId="4E7BE700" w:rsidR="00350AC2" w:rsidRPr="00AC665A" w:rsidRDefault="00350AC2" w:rsidP="00900AC8">
            <w:pPr>
              <w:jc w:val="center"/>
              <w:rPr>
                <w:sz w:val="22"/>
                <w:szCs w:val="22"/>
              </w:rPr>
            </w:pPr>
            <w:r w:rsidRPr="00AC665A">
              <w:rPr>
                <w:sz w:val="22"/>
                <w:szCs w:val="22"/>
              </w:rPr>
              <w:t>-6</w:t>
            </w:r>
            <w:r w:rsidR="00991205" w:rsidRPr="00AC665A">
              <w:rPr>
                <w:sz w:val="22"/>
                <w:szCs w:val="22"/>
              </w:rPr>
              <w:t xml:space="preserve"> </w:t>
            </w:r>
            <w:r w:rsidRPr="00AC665A">
              <w:rPr>
                <w:sz w:val="22"/>
                <w:szCs w:val="22"/>
              </w:rPr>
              <w:t>%</w:t>
            </w:r>
          </w:p>
        </w:tc>
        <w:tc>
          <w:tcPr>
            <w:tcW w:w="2011" w:type="dxa"/>
            <w:tcBorders>
              <w:top w:val="single" w:sz="6" w:space="0" w:color="auto"/>
              <w:left w:val="single" w:sz="6" w:space="0" w:color="auto"/>
              <w:bottom w:val="single" w:sz="12" w:space="0" w:color="auto"/>
              <w:right w:val="single" w:sz="6" w:space="0" w:color="auto"/>
            </w:tcBorders>
            <w:vAlign w:val="center"/>
          </w:tcPr>
          <w:p w14:paraId="37ABF059" w14:textId="77777777" w:rsidR="00350AC2" w:rsidRPr="00AC665A" w:rsidRDefault="00350AC2" w:rsidP="004565AA">
            <w:pPr>
              <w:jc w:val="center"/>
              <w:rPr>
                <w:sz w:val="22"/>
                <w:szCs w:val="22"/>
              </w:rPr>
            </w:pPr>
            <w:r w:rsidRPr="00AC665A">
              <w:rPr>
                <w:sz w:val="22"/>
                <w:szCs w:val="22"/>
              </w:rPr>
              <w:t>26,5</w:t>
            </w:r>
          </w:p>
          <w:p w14:paraId="5A305FB8" w14:textId="77777777" w:rsidR="00350AC2" w:rsidRPr="00AC665A" w:rsidRDefault="00350AC2" w:rsidP="004565AA">
            <w:pPr>
              <w:jc w:val="center"/>
              <w:rPr>
                <w:sz w:val="22"/>
                <w:szCs w:val="22"/>
              </w:rPr>
            </w:pPr>
            <w:r w:rsidRPr="00AC665A">
              <w:rPr>
                <w:sz w:val="22"/>
                <w:szCs w:val="22"/>
              </w:rPr>
              <w:t>25</w:t>
            </w:r>
          </w:p>
          <w:p w14:paraId="0CD50A70" w14:textId="77777777" w:rsidR="00350AC2" w:rsidRPr="00AC665A" w:rsidRDefault="00350AC2" w:rsidP="004565AA">
            <w:pPr>
              <w:jc w:val="center"/>
              <w:rPr>
                <w:sz w:val="22"/>
                <w:szCs w:val="22"/>
              </w:rPr>
            </w:pPr>
            <w:r w:rsidRPr="00AC665A">
              <w:rPr>
                <w:sz w:val="22"/>
                <w:szCs w:val="22"/>
              </w:rPr>
              <w:t>23,5</w:t>
            </w:r>
          </w:p>
        </w:tc>
        <w:tc>
          <w:tcPr>
            <w:tcW w:w="2010" w:type="dxa"/>
            <w:tcBorders>
              <w:top w:val="single" w:sz="6" w:space="0" w:color="auto"/>
              <w:left w:val="single" w:sz="6" w:space="0" w:color="auto"/>
              <w:bottom w:val="single" w:sz="12" w:space="0" w:color="auto"/>
              <w:right w:val="single" w:sz="6" w:space="0" w:color="auto"/>
            </w:tcBorders>
            <w:vAlign w:val="center"/>
          </w:tcPr>
          <w:p w14:paraId="63FE1013" w14:textId="77777777" w:rsidR="00350AC2" w:rsidRPr="00AC665A" w:rsidRDefault="00350AC2" w:rsidP="004565AA">
            <w:pPr>
              <w:jc w:val="center"/>
              <w:rPr>
                <w:sz w:val="22"/>
                <w:szCs w:val="22"/>
              </w:rPr>
            </w:pPr>
            <w:r w:rsidRPr="00AC665A">
              <w:rPr>
                <w:sz w:val="22"/>
                <w:szCs w:val="22"/>
              </w:rPr>
              <w:t>53</w:t>
            </w:r>
          </w:p>
          <w:p w14:paraId="24BB9B3F" w14:textId="77777777" w:rsidR="00350AC2" w:rsidRPr="00AC665A" w:rsidRDefault="00350AC2" w:rsidP="004565AA">
            <w:pPr>
              <w:jc w:val="center"/>
              <w:rPr>
                <w:sz w:val="22"/>
                <w:szCs w:val="22"/>
              </w:rPr>
            </w:pPr>
            <w:r w:rsidRPr="00AC665A">
              <w:rPr>
                <w:sz w:val="22"/>
                <w:szCs w:val="22"/>
              </w:rPr>
              <w:t>50</w:t>
            </w:r>
          </w:p>
          <w:p w14:paraId="4C3F7A68" w14:textId="77777777" w:rsidR="00350AC2" w:rsidRPr="00AC665A" w:rsidRDefault="00350AC2" w:rsidP="004565AA">
            <w:pPr>
              <w:jc w:val="center"/>
              <w:rPr>
                <w:sz w:val="22"/>
                <w:szCs w:val="22"/>
              </w:rPr>
            </w:pPr>
            <w:r w:rsidRPr="00AC665A">
              <w:rPr>
                <w:sz w:val="22"/>
                <w:szCs w:val="22"/>
              </w:rPr>
              <w:t>47</w:t>
            </w:r>
          </w:p>
        </w:tc>
        <w:tc>
          <w:tcPr>
            <w:tcW w:w="2011" w:type="dxa"/>
            <w:tcBorders>
              <w:top w:val="single" w:sz="6" w:space="0" w:color="auto"/>
              <w:left w:val="single" w:sz="6" w:space="0" w:color="auto"/>
              <w:bottom w:val="single" w:sz="12" w:space="0" w:color="auto"/>
              <w:right w:val="single" w:sz="12" w:space="0" w:color="auto"/>
            </w:tcBorders>
            <w:vAlign w:val="center"/>
          </w:tcPr>
          <w:p w14:paraId="3A47BC4D" w14:textId="77777777" w:rsidR="00350AC2" w:rsidRPr="00AC665A" w:rsidRDefault="00350AC2" w:rsidP="004565AA">
            <w:pPr>
              <w:jc w:val="center"/>
              <w:rPr>
                <w:sz w:val="22"/>
                <w:szCs w:val="22"/>
              </w:rPr>
            </w:pPr>
          </w:p>
          <w:p w14:paraId="6D0FAB9D" w14:textId="77777777" w:rsidR="00350AC2" w:rsidRPr="00AC665A" w:rsidRDefault="00350AC2" w:rsidP="004565AA">
            <w:pPr>
              <w:jc w:val="center"/>
              <w:rPr>
                <w:sz w:val="22"/>
                <w:szCs w:val="22"/>
              </w:rPr>
            </w:pPr>
            <w:r w:rsidRPr="00AC665A">
              <w:rPr>
                <w:sz w:val="22"/>
                <w:szCs w:val="22"/>
              </w:rPr>
              <w:t>100</w:t>
            </w:r>
          </w:p>
        </w:tc>
      </w:tr>
    </w:tbl>
    <w:p w14:paraId="453D3EA1" w14:textId="77777777" w:rsidR="00350AC2" w:rsidRPr="00AC665A" w:rsidRDefault="00350AC2" w:rsidP="00350AC2">
      <w:pPr>
        <w:spacing w:line="288" w:lineRule="auto"/>
        <w:jc w:val="center"/>
        <w:rPr>
          <w:sz w:val="20"/>
        </w:rPr>
      </w:pPr>
    </w:p>
    <w:p w14:paraId="59987636" w14:textId="0A198EB2" w:rsidR="00350AC2" w:rsidRPr="00AC665A" w:rsidRDefault="00350AC2" w:rsidP="00350AC2">
      <w:pPr>
        <w:pStyle w:val="Textkrper"/>
        <w:spacing w:line="288" w:lineRule="auto"/>
        <w:rPr>
          <w:bCs/>
          <w:sz w:val="22"/>
          <w:szCs w:val="22"/>
        </w:rPr>
      </w:pPr>
      <w:r w:rsidRPr="00AC665A">
        <w:rPr>
          <w:bCs/>
          <w:sz w:val="22"/>
          <w:szCs w:val="22"/>
        </w:rPr>
        <w:t xml:space="preserve">Diese Situation führt dazu, dass sich das Angebot an Franc in Deutschland ausweitet (Rechtsverschiebung der FF-Angebotsfunktion in Abb. </w:t>
      </w:r>
      <w:r w:rsidR="005632BF" w:rsidRPr="00AC665A">
        <w:rPr>
          <w:bCs/>
          <w:sz w:val="22"/>
          <w:szCs w:val="22"/>
        </w:rPr>
        <w:t>E.</w:t>
      </w:r>
      <w:r w:rsidRPr="00AC665A">
        <w:rPr>
          <w:bCs/>
          <w:sz w:val="22"/>
          <w:szCs w:val="22"/>
        </w:rPr>
        <w:t>20.1), und zwar</w:t>
      </w:r>
      <w:r w:rsidR="00226F89" w:rsidRPr="00AC665A">
        <w:rPr>
          <w:bCs/>
          <w:sz w:val="22"/>
          <w:szCs w:val="22"/>
        </w:rPr>
        <w:t>:</w:t>
      </w:r>
    </w:p>
    <w:p w14:paraId="48FBD9A5" w14:textId="77777777" w:rsidR="00350AC2" w:rsidRPr="00AC665A" w:rsidRDefault="00350AC2" w:rsidP="00350AC2">
      <w:pPr>
        <w:pStyle w:val="Textkrper"/>
        <w:numPr>
          <w:ilvl w:val="0"/>
          <w:numId w:val="2"/>
        </w:numPr>
        <w:spacing w:line="288" w:lineRule="auto"/>
        <w:ind w:left="426" w:hanging="426"/>
        <w:rPr>
          <w:bCs/>
          <w:sz w:val="22"/>
          <w:szCs w:val="22"/>
        </w:rPr>
      </w:pPr>
      <w:r w:rsidRPr="00AC665A">
        <w:rPr>
          <w:bCs/>
          <w:sz w:val="22"/>
          <w:szCs w:val="22"/>
        </w:rPr>
        <w:t xml:space="preserve">durch die Exporterlöse in Franc, die von den deutschen Exporteuren in DM umgetauscht werden und </w:t>
      </w:r>
    </w:p>
    <w:p w14:paraId="00D97B97" w14:textId="118400A2" w:rsidR="00350AC2" w:rsidRPr="00AC665A" w:rsidRDefault="00350AC2" w:rsidP="00350AC2">
      <w:pPr>
        <w:pStyle w:val="Textkrper"/>
        <w:numPr>
          <w:ilvl w:val="0"/>
          <w:numId w:val="2"/>
        </w:numPr>
        <w:spacing w:line="288" w:lineRule="auto"/>
        <w:ind w:left="426" w:hanging="426"/>
        <w:rPr>
          <w:bCs/>
          <w:sz w:val="22"/>
          <w:szCs w:val="22"/>
        </w:rPr>
      </w:pPr>
      <w:r w:rsidRPr="00AC665A">
        <w:rPr>
          <w:bCs/>
          <w:sz w:val="22"/>
          <w:szCs w:val="22"/>
        </w:rPr>
        <w:t>durch den Kapitalimport, d.</w:t>
      </w:r>
      <w:r w:rsidR="00226F89" w:rsidRPr="00AC665A">
        <w:rPr>
          <w:bCs/>
          <w:sz w:val="22"/>
          <w:szCs w:val="22"/>
        </w:rPr>
        <w:t xml:space="preserve"> </w:t>
      </w:r>
      <w:r w:rsidRPr="00AC665A">
        <w:rPr>
          <w:bCs/>
          <w:sz w:val="22"/>
          <w:szCs w:val="22"/>
        </w:rPr>
        <w:t>h. den auf Renditeüberlegungen zurückzuführenden Kauf deutscher Aktiva durch französische Anleger.</w:t>
      </w:r>
    </w:p>
    <w:p w14:paraId="326711DE" w14:textId="77777777" w:rsidR="00350AC2" w:rsidRPr="00AC665A" w:rsidRDefault="00350AC2" w:rsidP="00350AC2">
      <w:pPr>
        <w:spacing w:line="288" w:lineRule="auto"/>
        <w:rPr>
          <w:sz w:val="20"/>
        </w:rPr>
      </w:pPr>
    </w:p>
    <w:p w14:paraId="37254C77" w14:textId="77777777" w:rsidR="00350AC2" w:rsidRPr="00AC665A" w:rsidRDefault="00350AC2" w:rsidP="00350AC2">
      <w:pPr>
        <w:spacing w:line="288" w:lineRule="auto"/>
        <w:jc w:val="both"/>
        <w:rPr>
          <w:sz w:val="20"/>
        </w:rPr>
      </w:pPr>
    </w:p>
    <w:p w14:paraId="2CF335E7" w14:textId="77777777" w:rsidR="00350AC2" w:rsidRPr="00AC665A" w:rsidRDefault="00350AC2" w:rsidP="00350AC2">
      <w:pPr>
        <w:pStyle w:val="Textkrper"/>
        <w:pBdr>
          <w:top w:val="single" w:sz="4" w:space="1" w:color="auto"/>
          <w:left w:val="single" w:sz="4" w:space="4" w:color="auto"/>
          <w:bottom w:val="single" w:sz="4" w:space="1" w:color="auto"/>
          <w:right w:val="single" w:sz="4" w:space="4" w:color="auto"/>
        </w:pBdr>
        <w:spacing w:line="288" w:lineRule="auto"/>
        <w:jc w:val="center"/>
        <w:rPr>
          <w:bCs/>
          <w:sz w:val="22"/>
          <w:szCs w:val="22"/>
        </w:rPr>
      </w:pPr>
      <w:r w:rsidRPr="00AC665A">
        <w:rPr>
          <w:bCs/>
          <w:noProof/>
          <w:sz w:val="22"/>
          <w:szCs w:val="22"/>
        </w:rPr>
        <w:drawing>
          <wp:inline distT="0" distB="0" distL="0" distR="0" wp14:anchorId="53D84F14" wp14:editId="2C5E8656">
            <wp:extent cx="4477589" cy="2772000"/>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7589" cy="2772000"/>
                    </a:xfrm>
                    <a:prstGeom prst="rect">
                      <a:avLst/>
                    </a:prstGeom>
                    <a:noFill/>
                  </pic:spPr>
                </pic:pic>
              </a:graphicData>
            </a:graphic>
          </wp:inline>
        </w:drawing>
      </w:r>
    </w:p>
    <w:p w14:paraId="0967B7C9" w14:textId="7FEDF239" w:rsidR="00350AC2" w:rsidRPr="00AC665A" w:rsidRDefault="00350AC2" w:rsidP="00350AC2">
      <w:pPr>
        <w:pStyle w:val="Textkrper"/>
        <w:pBdr>
          <w:top w:val="single" w:sz="4" w:space="1" w:color="auto"/>
          <w:left w:val="single" w:sz="4" w:space="4" w:color="auto"/>
          <w:bottom w:val="single" w:sz="4" w:space="1" w:color="auto"/>
          <w:right w:val="single" w:sz="4" w:space="4" w:color="auto"/>
        </w:pBdr>
        <w:spacing w:line="288" w:lineRule="auto"/>
        <w:jc w:val="center"/>
        <w:rPr>
          <w:bCs/>
          <w:sz w:val="22"/>
          <w:szCs w:val="22"/>
        </w:rPr>
      </w:pPr>
    </w:p>
    <w:p w14:paraId="6B025DD4" w14:textId="77777777" w:rsidR="00350AC2" w:rsidRPr="00AC665A" w:rsidRDefault="00350AC2" w:rsidP="00350AC2">
      <w:pPr>
        <w:pStyle w:val="Textkrper"/>
        <w:spacing w:line="288" w:lineRule="auto"/>
        <w:rPr>
          <w:bCs/>
          <w:i/>
          <w:sz w:val="22"/>
          <w:szCs w:val="22"/>
        </w:rPr>
      </w:pPr>
    </w:p>
    <w:p w14:paraId="54D6769D" w14:textId="747D66D0" w:rsidR="00350AC2" w:rsidRPr="00AC665A" w:rsidRDefault="00350AC2" w:rsidP="00350AC2">
      <w:pPr>
        <w:pStyle w:val="Textkrper"/>
        <w:spacing w:line="288" w:lineRule="auto"/>
        <w:jc w:val="center"/>
        <w:rPr>
          <w:bCs/>
          <w:i/>
          <w:sz w:val="22"/>
          <w:szCs w:val="22"/>
        </w:rPr>
      </w:pPr>
      <w:r w:rsidRPr="00AC665A">
        <w:rPr>
          <w:bCs/>
          <w:i/>
          <w:sz w:val="22"/>
          <w:szCs w:val="22"/>
        </w:rPr>
        <w:t xml:space="preserve">Abb. </w:t>
      </w:r>
      <w:r w:rsidR="005632BF" w:rsidRPr="00AC665A">
        <w:rPr>
          <w:bCs/>
          <w:i/>
          <w:sz w:val="22"/>
          <w:szCs w:val="22"/>
        </w:rPr>
        <w:t>E.</w:t>
      </w:r>
      <w:r w:rsidRPr="00AC665A">
        <w:rPr>
          <w:bCs/>
          <w:i/>
          <w:sz w:val="22"/>
          <w:szCs w:val="22"/>
        </w:rPr>
        <w:t>20.1: Überschussland im System fester Wechselkurse (EWS)</w:t>
      </w:r>
    </w:p>
    <w:p w14:paraId="429154C1" w14:textId="77777777" w:rsidR="00350AC2" w:rsidRPr="00AC665A" w:rsidRDefault="00350AC2" w:rsidP="00350AC2">
      <w:pPr>
        <w:pStyle w:val="Textkrper"/>
        <w:spacing w:line="288" w:lineRule="auto"/>
        <w:rPr>
          <w:sz w:val="22"/>
          <w:szCs w:val="22"/>
        </w:rPr>
      </w:pPr>
    </w:p>
    <w:p w14:paraId="5C6D4348" w14:textId="012EBEA7" w:rsidR="00350AC2" w:rsidRPr="00AC665A" w:rsidRDefault="00350AC2" w:rsidP="00350AC2">
      <w:pPr>
        <w:pStyle w:val="Textkrper"/>
        <w:spacing w:line="288" w:lineRule="auto"/>
        <w:rPr>
          <w:sz w:val="22"/>
          <w:szCs w:val="22"/>
        </w:rPr>
      </w:pPr>
      <w:r w:rsidRPr="00AC665A">
        <w:rPr>
          <w:sz w:val="22"/>
          <w:szCs w:val="22"/>
        </w:rPr>
        <w:lastRenderedPageBreak/>
        <w:t>Kommt es nun zu einer Aufwertungstendenz der DM gegenüber dem Franc von z.</w:t>
      </w:r>
      <w:r w:rsidR="00FA69E3" w:rsidRPr="00AC665A">
        <w:rPr>
          <w:sz w:val="22"/>
          <w:szCs w:val="22"/>
        </w:rPr>
        <w:t xml:space="preserve"> </w:t>
      </w:r>
      <w:r w:rsidRPr="00AC665A">
        <w:rPr>
          <w:sz w:val="22"/>
          <w:szCs w:val="22"/>
        </w:rPr>
        <w:t>B. 100 DM = 206 Franc, also um 3</w:t>
      </w:r>
      <w:r w:rsidR="00991205" w:rsidRPr="00AC665A">
        <w:rPr>
          <w:sz w:val="22"/>
          <w:szCs w:val="22"/>
        </w:rPr>
        <w:t xml:space="preserve"> Prozent</w:t>
      </w:r>
      <w:r w:rsidRPr="00AC665A">
        <w:rPr>
          <w:sz w:val="22"/>
          <w:szCs w:val="22"/>
        </w:rPr>
        <w:t>, dann sind Interventionen nötig</w:t>
      </w:r>
      <w:r w:rsidR="007A0495" w:rsidRPr="00AC665A">
        <w:rPr>
          <w:sz w:val="22"/>
          <w:szCs w:val="22"/>
        </w:rPr>
        <w:t>. B</w:t>
      </w:r>
      <w:r w:rsidRPr="00AC665A">
        <w:rPr>
          <w:sz w:val="22"/>
          <w:szCs w:val="22"/>
        </w:rPr>
        <w:t>eachten Sie, dass wir in der graphischen Darstellung</w:t>
      </w:r>
      <w:r w:rsidR="0012561D" w:rsidRPr="00AC665A">
        <w:rPr>
          <w:sz w:val="22"/>
          <w:szCs w:val="22"/>
        </w:rPr>
        <w:t xml:space="preserve"> – </w:t>
      </w:r>
      <w:r w:rsidRPr="00AC665A">
        <w:rPr>
          <w:sz w:val="22"/>
          <w:szCs w:val="22"/>
        </w:rPr>
        <w:t>wie üblich</w:t>
      </w:r>
      <w:r w:rsidR="0012561D" w:rsidRPr="00AC665A">
        <w:rPr>
          <w:sz w:val="22"/>
          <w:szCs w:val="22"/>
        </w:rPr>
        <w:t xml:space="preserve"> –</w:t>
      </w:r>
      <w:r w:rsidRPr="00AC665A">
        <w:rPr>
          <w:sz w:val="22"/>
          <w:szCs w:val="22"/>
        </w:rPr>
        <w:t xml:space="preserve"> die Preisnotierung wählen</w:t>
      </w:r>
      <w:r w:rsidR="00B7583B" w:rsidRPr="00AC665A">
        <w:rPr>
          <w:sz w:val="22"/>
          <w:szCs w:val="22"/>
        </w:rPr>
        <w:t xml:space="preserve">, sodass </w:t>
      </w:r>
      <w:r w:rsidR="0012561D" w:rsidRPr="00AC665A">
        <w:rPr>
          <w:sz w:val="22"/>
          <w:szCs w:val="22"/>
        </w:rPr>
        <w:t xml:space="preserve">eine DM-Aufwertung </w:t>
      </w:r>
      <w:r w:rsidR="004D1F1B" w:rsidRPr="00AC665A">
        <w:rPr>
          <w:sz w:val="22"/>
          <w:szCs w:val="22"/>
        </w:rPr>
        <w:t xml:space="preserve">zum </w:t>
      </w:r>
      <w:r w:rsidR="00DD7152" w:rsidRPr="00AC665A">
        <w:rPr>
          <w:sz w:val="22"/>
          <w:szCs w:val="22"/>
        </w:rPr>
        <w:t>Rückgang</w:t>
      </w:r>
      <w:r w:rsidR="004D1F1B" w:rsidRPr="00AC665A">
        <w:rPr>
          <w:sz w:val="22"/>
          <w:szCs w:val="22"/>
        </w:rPr>
        <w:t xml:space="preserve"> des Wechselkurses führt</w:t>
      </w:r>
      <w:r w:rsidR="00BB1AED" w:rsidRPr="00AC665A">
        <w:rPr>
          <w:sz w:val="22"/>
          <w:szCs w:val="22"/>
        </w:rPr>
        <w:t>, in unserem Beispiel</w:t>
      </w:r>
      <w:r w:rsidRPr="00AC665A">
        <w:rPr>
          <w:sz w:val="22"/>
          <w:szCs w:val="22"/>
        </w:rPr>
        <w:t xml:space="preserve"> auf 100/206 = 0,485 FF je DM. Der Wechselkurs der DM gegenüber dem Franc muss auf den vorherigen Wert 1:2 zurückgeführt werden. Der Interventionsmechanismus verlangt, dass die beteiligten Zentralbanken</w:t>
      </w:r>
      <w:r w:rsidR="00AA57C7" w:rsidRPr="00AC665A">
        <w:rPr>
          <w:sz w:val="22"/>
          <w:szCs w:val="22"/>
        </w:rPr>
        <w:t xml:space="preserve"> – deutsche und französische –</w:t>
      </w:r>
      <w:r w:rsidRPr="00AC665A">
        <w:rPr>
          <w:sz w:val="22"/>
          <w:szCs w:val="22"/>
        </w:rPr>
        <w:t xml:space="preserve"> am Devisenmarkt intervenieren:</w:t>
      </w:r>
    </w:p>
    <w:p w14:paraId="66BB12D2" w14:textId="22BC93CF" w:rsidR="00350AC2" w:rsidRPr="00AC665A" w:rsidRDefault="00350AC2" w:rsidP="00350AC2">
      <w:pPr>
        <w:spacing w:line="288" w:lineRule="auto"/>
        <w:ind w:left="426" w:hanging="426"/>
        <w:jc w:val="both"/>
        <w:rPr>
          <w:sz w:val="22"/>
          <w:szCs w:val="22"/>
        </w:rPr>
      </w:pPr>
      <w:r w:rsidRPr="00AC665A">
        <w:rPr>
          <w:sz w:val="22"/>
          <w:szCs w:val="22"/>
        </w:rPr>
        <w:fldChar w:fldCharType="begin"/>
      </w:r>
      <w:r w:rsidRPr="00AC665A">
        <w:rPr>
          <w:sz w:val="22"/>
          <w:szCs w:val="22"/>
        </w:rPr>
        <w:instrText>SYMBOL 183 \f "Symbol" \s 10 \h</w:instrText>
      </w:r>
      <w:r w:rsidRPr="00AC665A">
        <w:rPr>
          <w:sz w:val="22"/>
          <w:szCs w:val="22"/>
        </w:rPr>
        <w:fldChar w:fldCharType="end"/>
      </w:r>
      <w:r w:rsidRPr="00AC665A">
        <w:rPr>
          <w:sz w:val="22"/>
          <w:szCs w:val="22"/>
        </w:rPr>
        <w:tab/>
        <w:t xml:space="preserve">Die Bundesbank fragt Franc nach und bietet dafür DM an (Rechtsverlagerung der FF-Nachfragefunktion) und </w:t>
      </w:r>
    </w:p>
    <w:p w14:paraId="31CDF12F" w14:textId="6AC69FCD" w:rsidR="00350AC2" w:rsidRPr="00AC665A" w:rsidRDefault="00350AC2" w:rsidP="00350AC2">
      <w:pPr>
        <w:spacing w:line="288" w:lineRule="auto"/>
        <w:ind w:left="426" w:hanging="426"/>
        <w:jc w:val="both"/>
        <w:rPr>
          <w:sz w:val="22"/>
          <w:szCs w:val="22"/>
        </w:rPr>
      </w:pPr>
      <w:r w:rsidRPr="00AC665A">
        <w:rPr>
          <w:sz w:val="22"/>
          <w:szCs w:val="22"/>
        </w:rPr>
        <w:fldChar w:fldCharType="begin"/>
      </w:r>
      <w:r w:rsidRPr="00AC665A">
        <w:rPr>
          <w:sz w:val="22"/>
          <w:szCs w:val="22"/>
        </w:rPr>
        <w:instrText>SYMBOL 183 \f "Symbol" \s 10 \h</w:instrText>
      </w:r>
      <w:r w:rsidRPr="00AC665A">
        <w:rPr>
          <w:sz w:val="22"/>
          <w:szCs w:val="22"/>
        </w:rPr>
        <w:fldChar w:fldCharType="end"/>
      </w:r>
      <w:r w:rsidRPr="00AC665A">
        <w:rPr>
          <w:sz w:val="22"/>
          <w:szCs w:val="22"/>
        </w:rPr>
        <w:tab/>
        <w:t>die französische Zentralbank entzieht Franc gegen Hergabe der DM (Linksverschiebung der FF-Angebotsfunktion).</w:t>
      </w:r>
    </w:p>
    <w:p w14:paraId="58E3FB0F" w14:textId="5BA02B49" w:rsidR="00350AC2" w:rsidRPr="00AC665A" w:rsidRDefault="00350AC2" w:rsidP="00350AC2">
      <w:pPr>
        <w:pStyle w:val="Textkrper"/>
        <w:spacing w:before="240" w:after="240" w:line="288" w:lineRule="auto"/>
        <w:jc w:val="left"/>
        <w:rPr>
          <w:b/>
          <w:bCs/>
          <w:sz w:val="22"/>
          <w:szCs w:val="22"/>
        </w:rPr>
      </w:pPr>
      <w:r w:rsidRPr="00AC665A">
        <w:rPr>
          <w:b/>
          <w:bCs/>
          <w:sz w:val="22"/>
          <w:szCs w:val="22"/>
        </w:rPr>
        <w:t>Auswirkungen von Devisenmarktinterventionen im EWS</w:t>
      </w:r>
    </w:p>
    <w:p w14:paraId="3D235939" w14:textId="2AA97E31" w:rsidR="00350AC2" w:rsidRPr="00AC665A" w:rsidRDefault="00350AC2" w:rsidP="00350AC2">
      <w:pPr>
        <w:pStyle w:val="Textkrper"/>
        <w:spacing w:line="288" w:lineRule="auto"/>
        <w:rPr>
          <w:sz w:val="22"/>
          <w:szCs w:val="22"/>
        </w:rPr>
      </w:pPr>
      <w:r w:rsidRPr="00AC665A">
        <w:rPr>
          <w:sz w:val="22"/>
          <w:szCs w:val="22"/>
        </w:rPr>
        <w:t>Dauerhafte Stützungsmaßnahmen am unteren Interventionspunkt bergen für das Überschussland (hier: Deutschland) die Gefahr einer inflationären Aufblähung der inländischen Geldmenge, da ständig Devisen gegen Ausgabe heimischer Währung gekauft werden müssen. Nehmen wir z.</w:t>
      </w:r>
      <w:r w:rsidR="00266952" w:rsidRPr="00AC665A">
        <w:rPr>
          <w:sz w:val="22"/>
          <w:szCs w:val="22"/>
        </w:rPr>
        <w:t xml:space="preserve"> </w:t>
      </w:r>
      <w:r w:rsidRPr="00AC665A">
        <w:rPr>
          <w:sz w:val="22"/>
          <w:szCs w:val="22"/>
        </w:rPr>
        <w:t xml:space="preserve">B. an, dass die inländischen Banken durch Exportgeschäfte inländischer Unternehmen und Kapitalanlagen von Ausländern im Inland in den Besitz von FF-Devisen in Höhe von 50 gelangt sind. Die Notenbank ist in diesem Fall verpflichtet, die überschüssige Menge an Devisen aufzukaufen. Es kommt zu einer Bilanzverlängerung, da die Zentralbankeinlagen der Geschäftsbanken in gleicher Höhe zunehmen. </w:t>
      </w:r>
    </w:p>
    <w:p w14:paraId="1022B355" w14:textId="77777777" w:rsidR="00350AC2" w:rsidRPr="00AC665A" w:rsidRDefault="00350AC2" w:rsidP="00350AC2">
      <w:pPr>
        <w:spacing w:line="288" w:lineRule="auto"/>
        <w:jc w:val="both"/>
        <w:rPr>
          <w:sz w:val="22"/>
          <w:szCs w:val="22"/>
        </w:rPr>
      </w:pPr>
    </w:p>
    <w:p w14:paraId="1E466C45" w14:textId="221D0388" w:rsidR="00350AC2" w:rsidRPr="00AC665A" w:rsidRDefault="00350AC2" w:rsidP="00991205">
      <w:pPr>
        <w:spacing w:after="120" w:line="288" w:lineRule="auto"/>
        <w:jc w:val="both"/>
        <w:rPr>
          <w:sz w:val="22"/>
          <w:szCs w:val="22"/>
        </w:rPr>
      </w:pPr>
      <w:r w:rsidRPr="00AC665A">
        <w:rPr>
          <w:sz w:val="22"/>
          <w:szCs w:val="22"/>
        </w:rPr>
        <w:t xml:space="preserve">Soll die monetäre Basis konstant bleiben, </w:t>
      </w:r>
      <w:r w:rsidR="003E36FE" w:rsidRPr="00AC665A">
        <w:rPr>
          <w:sz w:val="22"/>
          <w:szCs w:val="22"/>
        </w:rPr>
        <w:t xml:space="preserve">um unerwünschte Impulse auf das Wirtschaftssystem (z. B. Inflation) zu vermeiden, </w:t>
      </w:r>
      <w:r w:rsidRPr="00AC665A">
        <w:rPr>
          <w:sz w:val="22"/>
          <w:szCs w:val="22"/>
        </w:rPr>
        <w:t>müsste die Notenbank Einflüsse, die von der Änderung der Währungsreserven auf die monetäre Basis ausgehen, durch ihr geldpolitisches Instrumentarium</w:t>
      </w:r>
      <w:r w:rsidR="008D4A88" w:rsidRPr="00AC665A">
        <w:rPr>
          <w:sz w:val="22"/>
          <w:szCs w:val="22"/>
        </w:rPr>
        <w:t xml:space="preserve"> im Rahmen der </w:t>
      </w:r>
      <w:r w:rsidRPr="00AC665A">
        <w:rPr>
          <w:b/>
          <w:sz w:val="22"/>
          <w:szCs w:val="22"/>
        </w:rPr>
        <w:t>Sterilisierungspolitik</w:t>
      </w:r>
      <w:r w:rsidRPr="00AC665A">
        <w:rPr>
          <w:bCs/>
          <w:sz w:val="22"/>
          <w:szCs w:val="22"/>
        </w:rPr>
        <w:t xml:space="preserve"> </w:t>
      </w:r>
      <w:r w:rsidR="008D4A88" w:rsidRPr="00AC665A">
        <w:rPr>
          <w:bCs/>
          <w:sz w:val="22"/>
          <w:szCs w:val="22"/>
        </w:rPr>
        <w:t>(</w:t>
      </w:r>
      <w:r w:rsidRPr="00AC665A">
        <w:rPr>
          <w:bCs/>
          <w:sz w:val="22"/>
          <w:szCs w:val="22"/>
        </w:rPr>
        <w:t>auch</w:t>
      </w:r>
      <w:r w:rsidRPr="00AC665A">
        <w:rPr>
          <w:b/>
          <w:sz w:val="22"/>
          <w:szCs w:val="22"/>
        </w:rPr>
        <w:t xml:space="preserve"> Neutralisierungspolitik</w:t>
      </w:r>
      <w:r w:rsidRPr="00AC665A">
        <w:rPr>
          <w:sz w:val="22"/>
          <w:szCs w:val="22"/>
        </w:rPr>
        <w:t>)</w:t>
      </w:r>
      <w:r w:rsidR="008D4A88" w:rsidRPr="00AC665A">
        <w:rPr>
          <w:sz w:val="22"/>
          <w:szCs w:val="22"/>
        </w:rPr>
        <w:t xml:space="preserve"> kompensieren</w:t>
      </w:r>
      <w:r w:rsidRPr="00AC665A">
        <w:rPr>
          <w:sz w:val="22"/>
          <w:szCs w:val="22"/>
        </w:rPr>
        <w:t>. Dies wäre z.</w:t>
      </w:r>
      <w:r w:rsidR="008D4A88" w:rsidRPr="00AC665A">
        <w:rPr>
          <w:sz w:val="22"/>
          <w:szCs w:val="22"/>
        </w:rPr>
        <w:t xml:space="preserve"> </w:t>
      </w:r>
      <w:r w:rsidRPr="00AC665A">
        <w:rPr>
          <w:sz w:val="22"/>
          <w:szCs w:val="22"/>
        </w:rPr>
        <w:t xml:space="preserve">B. durch den Verkauf von Inlandsaktiva (Offenmarktoperationen) in Höhe von 50 durch die Notenbank gegen heimische Währung möglich. </w:t>
      </w:r>
    </w:p>
    <w:tbl>
      <w:tblPr>
        <w:tblStyle w:val="Tabellenraster"/>
        <w:tblW w:w="7885" w:type="dxa"/>
        <w:tblInd w:w="108" w:type="dxa"/>
        <w:tblLayout w:type="fixed"/>
        <w:tblLook w:val="01E0" w:firstRow="1" w:lastRow="1" w:firstColumn="1" w:lastColumn="1" w:noHBand="0" w:noVBand="0"/>
      </w:tblPr>
      <w:tblGrid>
        <w:gridCol w:w="2127"/>
        <w:gridCol w:w="1984"/>
        <w:gridCol w:w="1985"/>
        <w:gridCol w:w="1789"/>
      </w:tblGrid>
      <w:tr w:rsidR="00350AC2" w:rsidRPr="00546DA9" w14:paraId="36AF4A5E" w14:textId="77777777" w:rsidTr="00F94D3C">
        <w:trPr>
          <w:trHeight w:val="454"/>
        </w:trPr>
        <w:tc>
          <w:tcPr>
            <w:tcW w:w="7885" w:type="dxa"/>
            <w:gridSpan w:val="4"/>
            <w:shd w:val="clear" w:color="auto" w:fill="D9D9D9" w:themeFill="background1" w:themeFillShade="D9"/>
            <w:vAlign w:val="center"/>
          </w:tcPr>
          <w:p w14:paraId="34763A82" w14:textId="77777777" w:rsidR="00350AC2" w:rsidRPr="00546DA9" w:rsidRDefault="00350AC2" w:rsidP="00546DA9">
            <w:pPr>
              <w:spacing w:line="288" w:lineRule="auto"/>
              <w:jc w:val="center"/>
              <w:rPr>
                <w:rFonts w:ascii="Arial" w:hAnsi="Arial" w:cs="Arial"/>
                <w:b/>
                <w:sz w:val="18"/>
                <w:szCs w:val="18"/>
              </w:rPr>
            </w:pPr>
            <w:r w:rsidRPr="00546DA9">
              <w:rPr>
                <w:rFonts w:ascii="Arial" w:hAnsi="Arial" w:cs="Arial"/>
                <w:b/>
                <w:sz w:val="18"/>
                <w:szCs w:val="18"/>
              </w:rPr>
              <w:t>Zentralbankbilanz (mit und ohne neutralisierte) Devisenmarktinterventionen</w:t>
            </w:r>
          </w:p>
        </w:tc>
      </w:tr>
      <w:tr w:rsidR="00350AC2" w:rsidRPr="00546DA9" w14:paraId="3FF6896C" w14:textId="77777777" w:rsidTr="00F94D3C">
        <w:trPr>
          <w:trHeight w:val="454"/>
        </w:trPr>
        <w:tc>
          <w:tcPr>
            <w:tcW w:w="4111" w:type="dxa"/>
            <w:gridSpan w:val="2"/>
            <w:vAlign w:val="center"/>
          </w:tcPr>
          <w:p w14:paraId="7DC4DA60" w14:textId="77777777" w:rsidR="00350AC2" w:rsidRPr="00546DA9" w:rsidRDefault="00350AC2" w:rsidP="00F94D3C">
            <w:pPr>
              <w:spacing w:line="288" w:lineRule="auto"/>
              <w:jc w:val="center"/>
              <w:rPr>
                <w:rFonts w:ascii="Arial" w:hAnsi="Arial" w:cs="Arial"/>
                <w:b/>
                <w:sz w:val="18"/>
                <w:szCs w:val="18"/>
              </w:rPr>
            </w:pPr>
            <w:r w:rsidRPr="00546DA9">
              <w:rPr>
                <w:rFonts w:ascii="Arial" w:hAnsi="Arial" w:cs="Arial"/>
                <w:b/>
                <w:sz w:val="18"/>
                <w:szCs w:val="18"/>
              </w:rPr>
              <w:t>Aktiva</w:t>
            </w:r>
          </w:p>
        </w:tc>
        <w:tc>
          <w:tcPr>
            <w:tcW w:w="3774" w:type="dxa"/>
            <w:gridSpan w:val="2"/>
            <w:vAlign w:val="center"/>
          </w:tcPr>
          <w:p w14:paraId="03FA9A1A" w14:textId="77777777" w:rsidR="00350AC2" w:rsidRPr="00546DA9" w:rsidRDefault="00350AC2" w:rsidP="00F94D3C">
            <w:pPr>
              <w:spacing w:line="288" w:lineRule="auto"/>
              <w:jc w:val="center"/>
              <w:rPr>
                <w:rFonts w:ascii="Arial" w:hAnsi="Arial" w:cs="Arial"/>
                <w:b/>
                <w:sz w:val="18"/>
                <w:szCs w:val="18"/>
              </w:rPr>
            </w:pPr>
            <w:r w:rsidRPr="00546DA9">
              <w:rPr>
                <w:rFonts w:ascii="Arial" w:hAnsi="Arial" w:cs="Arial"/>
                <w:b/>
                <w:sz w:val="18"/>
                <w:szCs w:val="18"/>
              </w:rPr>
              <w:t>Passiva</w:t>
            </w:r>
          </w:p>
        </w:tc>
      </w:tr>
      <w:tr w:rsidR="00350AC2" w:rsidRPr="00546DA9" w14:paraId="41511141" w14:textId="77777777" w:rsidTr="004565AA">
        <w:tc>
          <w:tcPr>
            <w:tcW w:w="2127" w:type="dxa"/>
            <w:tcBorders>
              <w:bottom w:val="single" w:sz="4" w:space="0" w:color="auto"/>
            </w:tcBorders>
            <w:vAlign w:val="center"/>
          </w:tcPr>
          <w:p w14:paraId="7002D3FD" w14:textId="77777777" w:rsidR="00350AC2" w:rsidRPr="00546DA9" w:rsidRDefault="00350AC2" w:rsidP="004565AA">
            <w:pPr>
              <w:rPr>
                <w:rFonts w:ascii="Arial" w:hAnsi="Arial" w:cs="Arial"/>
                <w:sz w:val="18"/>
                <w:szCs w:val="18"/>
              </w:rPr>
            </w:pPr>
            <w:r w:rsidRPr="00546DA9">
              <w:rPr>
                <w:rFonts w:ascii="Arial" w:hAnsi="Arial" w:cs="Arial"/>
                <w:sz w:val="18"/>
                <w:szCs w:val="18"/>
              </w:rPr>
              <w:t>Kredite an Geschäftsbanken</w:t>
            </w:r>
          </w:p>
        </w:tc>
        <w:tc>
          <w:tcPr>
            <w:tcW w:w="1984" w:type="dxa"/>
            <w:tcBorders>
              <w:bottom w:val="single" w:sz="4" w:space="0" w:color="auto"/>
            </w:tcBorders>
            <w:vAlign w:val="center"/>
          </w:tcPr>
          <w:p w14:paraId="378B965C"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200</w:t>
            </w:r>
          </w:p>
        </w:tc>
        <w:tc>
          <w:tcPr>
            <w:tcW w:w="1985" w:type="dxa"/>
            <w:vAlign w:val="center"/>
          </w:tcPr>
          <w:p w14:paraId="01140E3C"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Bargeldumlauf</w:t>
            </w:r>
          </w:p>
        </w:tc>
        <w:tc>
          <w:tcPr>
            <w:tcW w:w="1789" w:type="dxa"/>
            <w:vAlign w:val="center"/>
          </w:tcPr>
          <w:p w14:paraId="7972B9DB"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100</w:t>
            </w:r>
          </w:p>
        </w:tc>
      </w:tr>
      <w:tr w:rsidR="00350AC2" w:rsidRPr="00546DA9" w14:paraId="0D2F68A2" w14:textId="77777777" w:rsidTr="004565AA">
        <w:tc>
          <w:tcPr>
            <w:tcW w:w="2127" w:type="dxa"/>
            <w:shd w:val="clear" w:color="auto" w:fill="F3F3F3"/>
            <w:vAlign w:val="center"/>
          </w:tcPr>
          <w:p w14:paraId="5E0FB205" w14:textId="77777777" w:rsidR="00350AC2" w:rsidRPr="00546DA9" w:rsidRDefault="00350AC2" w:rsidP="004565AA">
            <w:pPr>
              <w:spacing w:line="288" w:lineRule="auto"/>
              <w:rPr>
                <w:rFonts w:ascii="Arial" w:hAnsi="Arial" w:cs="Arial"/>
                <w:b/>
                <w:sz w:val="18"/>
                <w:szCs w:val="18"/>
              </w:rPr>
            </w:pPr>
            <w:r w:rsidRPr="00546DA9">
              <w:rPr>
                <w:rFonts w:ascii="Arial" w:hAnsi="Arial" w:cs="Arial"/>
                <w:b/>
                <w:sz w:val="18"/>
                <w:szCs w:val="18"/>
              </w:rPr>
              <w:t>Währungsreserven</w:t>
            </w:r>
          </w:p>
        </w:tc>
        <w:tc>
          <w:tcPr>
            <w:tcW w:w="1984" w:type="dxa"/>
            <w:shd w:val="clear" w:color="auto" w:fill="F3F3F3"/>
            <w:vAlign w:val="center"/>
          </w:tcPr>
          <w:p w14:paraId="1B2D47A1" w14:textId="77777777" w:rsidR="00350AC2" w:rsidRPr="00546DA9" w:rsidRDefault="00350AC2" w:rsidP="004565AA">
            <w:pPr>
              <w:spacing w:line="288" w:lineRule="auto"/>
              <w:rPr>
                <w:rFonts w:ascii="Arial" w:hAnsi="Arial" w:cs="Arial"/>
                <w:b/>
                <w:sz w:val="18"/>
                <w:szCs w:val="18"/>
              </w:rPr>
            </w:pPr>
            <w:r w:rsidRPr="00546DA9">
              <w:rPr>
                <w:rFonts w:ascii="Arial" w:hAnsi="Arial" w:cs="Arial"/>
                <w:b/>
                <w:sz w:val="18"/>
                <w:szCs w:val="18"/>
              </w:rPr>
              <w:t>400 (+ 50</w:t>
            </w:r>
            <w:proofErr w:type="gramStart"/>
            <w:r w:rsidRPr="00546DA9">
              <w:rPr>
                <w:rFonts w:ascii="Arial" w:hAnsi="Arial" w:cs="Arial"/>
                <w:b/>
                <w:sz w:val="18"/>
                <w:szCs w:val="18"/>
              </w:rPr>
              <w:t>)  =</w:t>
            </w:r>
            <w:proofErr w:type="gramEnd"/>
            <w:r w:rsidRPr="00546DA9">
              <w:rPr>
                <w:rFonts w:ascii="Arial" w:hAnsi="Arial" w:cs="Arial"/>
                <w:b/>
                <w:sz w:val="18"/>
                <w:szCs w:val="18"/>
              </w:rPr>
              <w:t xml:space="preserve">  450</w:t>
            </w:r>
          </w:p>
        </w:tc>
        <w:tc>
          <w:tcPr>
            <w:tcW w:w="1985" w:type="dxa"/>
            <w:vAlign w:val="center"/>
          </w:tcPr>
          <w:p w14:paraId="3321AEDA" w14:textId="77777777" w:rsidR="00350AC2" w:rsidRPr="00546DA9" w:rsidRDefault="00350AC2" w:rsidP="004565AA">
            <w:pPr>
              <w:rPr>
                <w:rFonts w:ascii="Arial" w:hAnsi="Arial" w:cs="Arial"/>
                <w:sz w:val="18"/>
                <w:szCs w:val="18"/>
              </w:rPr>
            </w:pPr>
            <w:r w:rsidRPr="00546DA9">
              <w:rPr>
                <w:rFonts w:ascii="Arial" w:hAnsi="Arial" w:cs="Arial"/>
                <w:sz w:val="18"/>
                <w:szCs w:val="18"/>
              </w:rPr>
              <w:t>Einlagen der Geschäftsbanken</w:t>
            </w:r>
          </w:p>
        </w:tc>
        <w:tc>
          <w:tcPr>
            <w:tcW w:w="1789" w:type="dxa"/>
            <w:vAlign w:val="center"/>
          </w:tcPr>
          <w:p w14:paraId="2E3D9FFD"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700 (+ 50; - 50)</w:t>
            </w:r>
          </w:p>
        </w:tc>
      </w:tr>
      <w:tr w:rsidR="00350AC2" w:rsidRPr="00546DA9" w14:paraId="5169C31B" w14:textId="77777777" w:rsidTr="004565AA">
        <w:tc>
          <w:tcPr>
            <w:tcW w:w="2127" w:type="dxa"/>
            <w:shd w:val="clear" w:color="auto" w:fill="F3F3F3"/>
            <w:vAlign w:val="center"/>
          </w:tcPr>
          <w:p w14:paraId="6ECDB969" w14:textId="77777777" w:rsidR="00350AC2" w:rsidRPr="00546DA9" w:rsidRDefault="00350AC2" w:rsidP="004565AA">
            <w:pPr>
              <w:rPr>
                <w:rFonts w:ascii="Arial" w:hAnsi="Arial" w:cs="Arial"/>
                <w:b/>
                <w:sz w:val="18"/>
                <w:szCs w:val="18"/>
              </w:rPr>
            </w:pPr>
            <w:r w:rsidRPr="00546DA9">
              <w:rPr>
                <w:rFonts w:ascii="Arial" w:hAnsi="Arial" w:cs="Arial"/>
                <w:b/>
                <w:sz w:val="18"/>
                <w:szCs w:val="18"/>
              </w:rPr>
              <w:t xml:space="preserve">Inlandsaktiva </w:t>
            </w:r>
          </w:p>
          <w:p w14:paraId="654ED193" w14:textId="77777777" w:rsidR="00350AC2" w:rsidRPr="00546DA9" w:rsidRDefault="00350AC2" w:rsidP="004565AA">
            <w:pPr>
              <w:rPr>
                <w:rFonts w:ascii="Arial" w:hAnsi="Arial" w:cs="Arial"/>
                <w:b/>
                <w:sz w:val="18"/>
                <w:szCs w:val="18"/>
              </w:rPr>
            </w:pPr>
            <w:r w:rsidRPr="00546DA9">
              <w:rPr>
                <w:rFonts w:ascii="Arial" w:hAnsi="Arial" w:cs="Arial"/>
                <w:b/>
                <w:sz w:val="18"/>
                <w:szCs w:val="18"/>
              </w:rPr>
              <w:t>(z.B. Wertpapiere)</w:t>
            </w:r>
          </w:p>
        </w:tc>
        <w:tc>
          <w:tcPr>
            <w:tcW w:w="1984" w:type="dxa"/>
            <w:shd w:val="clear" w:color="auto" w:fill="F3F3F3"/>
            <w:vAlign w:val="center"/>
          </w:tcPr>
          <w:p w14:paraId="1BCAEBEA" w14:textId="77777777" w:rsidR="00350AC2" w:rsidRPr="00546DA9" w:rsidRDefault="00350AC2" w:rsidP="004565AA">
            <w:pPr>
              <w:spacing w:line="288" w:lineRule="auto"/>
              <w:rPr>
                <w:rFonts w:ascii="Arial" w:hAnsi="Arial" w:cs="Arial"/>
                <w:b/>
                <w:sz w:val="18"/>
                <w:szCs w:val="18"/>
              </w:rPr>
            </w:pPr>
            <w:r w:rsidRPr="00546DA9">
              <w:rPr>
                <w:rFonts w:ascii="Arial" w:hAnsi="Arial" w:cs="Arial"/>
                <w:b/>
                <w:sz w:val="18"/>
                <w:szCs w:val="18"/>
              </w:rPr>
              <w:t>400 (-50</w:t>
            </w:r>
            <w:proofErr w:type="gramStart"/>
            <w:r w:rsidRPr="00546DA9">
              <w:rPr>
                <w:rFonts w:ascii="Arial" w:hAnsi="Arial" w:cs="Arial"/>
                <w:b/>
                <w:sz w:val="18"/>
                <w:szCs w:val="18"/>
              </w:rPr>
              <w:t>)  =</w:t>
            </w:r>
            <w:proofErr w:type="gramEnd"/>
            <w:r w:rsidRPr="00546DA9">
              <w:rPr>
                <w:rFonts w:ascii="Arial" w:hAnsi="Arial" w:cs="Arial"/>
                <w:b/>
                <w:sz w:val="18"/>
                <w:szCs w:val="18"/>
              </w:rPr>
              <w:t xml:space="preserve">  350</w:t>
            </w:r>
          </w:p>
        </w:tc>
        <w:tc>
          <w:tcPr>
            <w:tcW w:w="1985" w:type="dxa"/>
            <w:vAlign w:val="center"/>
          </w:tcPr>
          <w:p w14:paraId="52C93EFB"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Sonstige Einlagen</w:t>
            </w:r>
          </w:p>
        </w:tc>
        <w:tc>
          <w:tcPr>
            <w:tcW w:w="1789" w:type="dxa"/>
            <w:vAlign w:val="center"/>
          </w:tcPr>
          <w:p w14:paraId="0D820E42"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200</w:t>
            </w:r>
          </w:p>
        </w:tc>
      </w:tr>
      <w:tr w:rsidR="00350AC2" w:rsidRPr="00546DA9" w14:paraId="6BDF213A" w14:textId="77777777" w:rsidTr="00991205">
        <w:trPr>
          <w:trHeight w:val="454"/>
        </w:trPr>
        <w:tc>
          <w:tcPr>
            <w:tcW w:w="2127" w:type="dxa"/>
            <w:vAlign w:val="center"/>
          </w:tcPr>
          <w:p w14:paraId="616EC770"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Monetäre Basis</w:t>
            </w:r>
          </w:p>
        </w:tc>
        <w:tc>
          <w:tcPr>
            <w:tcW w:w="1984" w:type="dxa"/>
            <w:vAlign w:val="center"/>
          </w:tcPr>
          <w:p w14:paraId="71E5EB5A"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1.000</w:t>
            </w:r>
          </w:p>
        </w:tc>
        <w:tc>
          <w:tcPr>
            <w:tcW w:w="1985" w:type="dxa"/>
            <w:vAlign w:val="center"/>
          </w:tcPr>
          <w:p w14:paraId="1C82C978" w14:textId="77777777" w:rsidR="00350AC2" w:rsidRPr="00546DA9" w:rsidRDefault="00350AC2" w:rsidP="004565AA">
            <w:pPr>
              <w:spacing w:line="288" w:lineRule="auto"/>
              <w:rPr>
                <w:rFonts w:ascii="Arial" w:hAnsi="Arial" w:cs="Arial"/>
                <w:sz w:val="18"/>
                <w:szCs w:val="18"/>
              </w:rPr>
            </w:pPr>
          </w:p>
        </w:tc>
        <w:tc>
          <w:tcPr>
            <w:tcW w:w="1789" w:type="dxa"/>
            <w:vAlign w:val="center"/>
          </w:tcPr>
          <w:p w14:paraId="6077B81D" w14:textId="77777777" w:rsidR="00350AC2" w:rsidRPr="00546DA9" w:rsidRDefault="00350AC2" w:rsidP="004565AA">
            <w:pPr>
              <w:spacing w:line="288" w:lineRule="auto"/>
              <w:rPr>
                <w:rFonts w:ascii="Arial" w:hAnsi="Arial" w:cs="Arial"/>
                <w:sz w:val="18"/>
                <w:szCs w:val="18"/>
              </w:rPr>
            </w:pPr>
            <w:r w:rsidRPr="00546DA9">
              <w:rPr>
                <w:rFonts w:ascii="Arial" w:hAnsi="Arial" w:cs="Arial"/>
                <w:sz w:val="18"/>
                <w:szCs w:val="18"/>
              </w:rPr>
              <w:t>1.000</w:t>
            </w:r>
          </w:p>
        </w:tc>
      </w:tr>
    </w:tbl>
    <w:p w14:paraId="6A0A8F1A" w14:textId="77777777" w:rsidR="00350AC2" w:rsidRPr="00AC665A" w:rsidRDefault="00350AC2" w:rsidP="00350AC2">
      <w:pPr>
        <w:spacing w:line="288" w:lineRule="auto"/>
      </w:pPr>
    </w:p>
    <w:p w14:paraId="3220BAFA" w14:textId="0A9A0E25" w:rsidR="00350AC2" w:rsidRPr="00AC665A" w:rsidRDefault="00350AC2" w:rsidP="00350AC2">
      <w:pPr>
        <w:spacing w:line="288" w:lineRule="auto"/>
        <w:jc w:val="both"/>
        <w:rPr>
          <w:sz w:val="22"/>
          <w:szCs w:val="22"/>
        </w:rPr>
      </w:pPr>
      <w:r w:rsidRPr="00AC665A">
        <w:rPr>
          <w:sz w:val="22"/>
          <w:szCs w:val="22"/>
        </w:rPr>
        <w:t>Im Fall der Sterilisierungspolitik steht der Erhöhung der Auslandsaktiva</w:t>
      </w:r>
      <w:r w:rsidR="00A45D11" w:rsidRPr="00AC665A">
        <w:rPr>
          <w:sz w:val="22"/>
          <w:szCs w:val="22"/>
        </w:rPr>
        <w:t xml:space="preserve"> – durch den Kauf der ausländischen Währung –</w:t>
      </w:r>
      <w:r w:rsidRPr="00AC665A">
        <w:rPr>
          <w:sz w:val="22"/>
          <w:szCs w:val="22"/>
        </w:rPr>
        <w:t xml:space="preserve"> eine Verringerung der Inlandsaktiva im gleichen Umfang gegenüber, während die Passivseite der Bilanz </w:t>
      </w:r>
      <w:r w:rsidR="00CD304C" w:rsidRPr="00AC665A">
        <w:rPr>
          <w:sz w:val="22"/>
          <w:szCs w:val="22"/>
        </w:rPr>
        <w:t xml:space="preserve">– und somit die gesamte Bilanzsumme – </w:t>
      </w:r>
      <w:r w:rsidRPr="00AC665A">
        <w:rPr>
          <w:sz w:val="22"/>
          <w:szCs w:val="22"/>
        </w:rPr>
        <w:t xml:space="preserve">unverändert bleibt. Der neutralisierte Devisenkauf hat keine Wirkung auf die inländische Geldmenge. </w:t>
      </w:r>
    </w:p>
    <w:p w14:paraId="2CB1DD31" w14:textId="77777777" w:rsidR="00350AC2" w:rsidRPr="00AC665A" w:rsidRDefault="00350AC2" w:rsidP="00350AC2">
      <w:pPr>
        <w:spacing w:line="288" w:lineRule="auto"/>
        <w:rPr>
          <w:sz w:val="22"/>
          <w:szCs w:val="22"/>
        </w:rPr>
      </w:pPr>
    </w:p>
    <w:tbl>
      <w:tblPr>
        <w:tblStyle w:val="Tabellenraster"/>
        <w:tblW w:w="8100" w:type="dxa"/>
        <w:tblInd w:w="108" w:type="dxa"/>
        <w:tblLook w:val="01E0" w:firstRow="1" w:lastRow="1" w:firstColumn="1" w:lastColumn="1" w:noHBand="0" w:noVBand="0"/>
      </w:tblPr>
      <w:tblGrid>
        <w:gridCol w:w="1843"/>
        <w:gridCol w:w="2477"/>
        <w:gridCol w:w="1980"/>
        <w:gridCol w:w="1800"/>
      </w:tblGrid>
      <w:tr w:rsidR="00350AC2" w:rsidRPr="00AC665A" w14:paraId="3333D371" w14:textId="77777777" w:rsidTr="00E6033D">
        <w:tc>
          <w:tcPr>
            <w:tcW w:w="1843" w:type="dxa"/>
            <w:shd w:val="clear" w:color="auto" w:fill="D9D9D9" w:themeFill="background1" w:themeFillShade="D9"/>
            <w:vAlign w:val="center"/>
          </w:tcPr>
          <w:p w14:paraId="3E7F6882" w14:textId="77777777" w:rsidR="00350AC2" w:rsidRPr="00AC665A" w:rsidRDefault="00350AC2" w:rsidP="00E6033D">
            <w:pPr>
              <w:spacing w:line="288" w:lineRule="auto"/>
              <w:rPr>
                <w:rFonts w:ascii="Arial" w:hAnsi="Arial" w:cs="Arial"/>
                <w:b/>
                <w:sz w:val="18"/>
                <w:szCs w:val="18"/>
              </w:rPr>
            </w:pPr>
            <w:r w:rsidRPr="00AC665A">
              <w:rPr>
                <w:rFonts w:ascii="Arial" w:hAnsi="Arial" w:cs="Arial"/>
                <w:b/>
                <w:sz w:val="18"/>
                <w:szCs w:val="18"/>
              </w:rPr>
              <w:t>Devisenkauf</w:t>
            </w:r>
          </w:p>
        </w:tc>
        <w:tc>
          <w:tcPr>
            <w:tcW w:w="2477" w:type="dxa"/>
            <w:shd w:val="clear" w:color="auto" w:fill="D9D9D9" w:themeFill="background1" w:themeFillShade="D9"/>
          </w:tcPr>
          <w:p w14:paraId="38D9168C"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Wirkung auf die inländische Geldmenge</w:t>
            </w:r>
          </w:p>
        </w:tc>
        <w:tc>
          <w:tcPr>
            <w:tcW w:w="1980" w:type="dxa"/>
            <w:shd w:val="clear" w:color="auto" w:fill="D9D9D9" w:themeFill="background1" w:themeFillShade="D9"/>
          </w:tcPr>
          <w:p w14:paraId="7B42D218"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Wirkung auf Inlandsaktiva</w:t>
            </w:r>
          </w:p>
        </w:tc>
        <w:tc>
          <w:tcPr>
            <w:tcW w:w="1800" w:type="dxa"/>
            <w:shd w:val="clear" w:color="auto" w:fill="D9D9D9" w:themeFill="background1" w:themeFillShade="D9"/>
          </w:tcPr>
          <w:p w14:paraId="4D82EFBC"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Wirkung auf Auslandsaktiva</w:t>
            </w:r>
          </w:p>
        </w:tc>
      </w:tr>
      <w:tr w:rsidR="00350AC2" w:rsidRPr="00AC665A" w14:paraId="523FD197" w14:textId="77777777" w:rsidTr="004565AA">
        <w:trPr>
          <w:trHeight w:val="340"/>
        </w:trPr>
        <w:tc>
          <w:tcPr>
            <w:tcW w:w="1843" w:type="dxa"/>
            <w:vAlign w:val="center"/>
          </w:tcPr>
          <w:p w14:paraId="66436F37" w14:textId="77777777" w:rsidR="00350AC2" w:rsidRPr="00AC665A" w:rsidRDefault="00350AC2" w:rsidP="004565AA">
            <w:pPr>
              <w:spacing w:line="288" w:lineRule="auto"/>
              <w:rPr>
                <w:rFonts w:ascii="Arial" w:hAnsi="Arial" w:cs="Arial"/>
                <w:sz w:val="18"/>
                <w:szCs w:val="18"/>
              </w:rPr>
            </w:pPr>
            <w:r w:rsidRPr="00AC665A">
              <w:rPr>
                <w:rFonts w:ascii="Arial" w:hAnsi="Arial" w:cs="Arial"/>
                <w:sz w:val="18"/>
                <w:szCs w:val="18"/>
              </w:rPr>
              <w:t xml:space="preserve">nicht neutralisiert </w:t>
            </w:r>
          </w:p>
        </w:tc>
        <w:tc>
          <w:tcPr>
            <w:tcW w:w="2477" w:type="dxa"/>
            <w:vAlign w:val="center"/>
          </w:tcPr>
          <w:p w14:paraId="440E70AA"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+ 50</w:t>
            </w:r>
          </w:p>
        </w:tc>
        <w:tc>
          <w:tcPr>
            <w:tcW w:w="1980" w:type="dxa"/>
            <w:vAlign w:val="center"/>
          </w:tcPr>
          <w:p w14:paraId="790501DF"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0</w:t>
            </w:r>
          </w:p>
        </w:tc>
        <w:tc>
          <w:tcPr>
            <w:tcW w:w="1800" w:type="dxa"/>
            <w:vAlign w:val="center"/>
          </w:tcPr>
          <w:p w14:paraId="5025B93A"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+ 50</w:t>
            </w:r>
          </w:p>
        </w:tc>
      </w:tr>
      <w:tr w:rsidR="00350AC2" w:rsidRPr="00AC665A" w14:paraId="1939D386" w14:textId="77777777" w:rsidTr="004565AA">
        <w:trPr>
          <w:trHeight w:val="340"/>
        </w:trPr>
        <w:tc>
          <w:tcPr>
            <w:tcW w:w="1843" w:type="dxa"/>
            <w:vAlign w:val="center"/>
          </w:tcPr>
          <w:p w14:paraId="755880CB" w14:textId="77777777" w:rsidR="00350AC2" w:rsidRPr="00AC665A" w:rsidRDefault="00350AC2" w:rsidP="004565AA">
            <w:pPr>
              <w:spacing w:line="288" w:lineRule="auto"/>
              <w:rPr>
                <w:rFonts w:ascii="Arial" w:hAnsi="Arial" w:cs="Arial"/>
                <w:sz w:val="18"/>
                <w:szCs w:val="18"/>
              </w:rPr>
            </w:pPr>
            <w:r w:rsidRPr="00AC665A">
              <w:rPr>
                <w:rFonts w:ascii="Arial" w:hAnsi="Arial" w:cs="Arial"/>
                <w:sz w:val="18"/>
                <w:szCs w:val="18"/>
              </w:rPr>
              <w:t xml:space="preserve">neutralisiert </w:t>
            </w:r>
          </w:p>
        </w:tc>
        <w:tc>
          <w:tcPr>
            <w:tcW w:w="2477" w:type="dxa"/>
            <w:vAlign w:val="center"/>
          </w:tcPr>
          <w:p w14:paraId="5F51DE03"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0</w:t>
            </w:r>
          </w:p>
        </w:tc>
        <w:tc>
          <w:tcPr>
            <w:tcW w:w="1980" w:type="dxa"/>
            <w:vAlign w:val="center"/>
          </w:tcPr>
          <w:p w14:paraId="62BEF314"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- 50</w:t>
            </w:r>
          </w:p>
        </w:tc>
        <w:tc>
          <w:tcPr>
            <w:tcW w:w="1800" w:type="dxa"/>
            <w:vAlign w:val="center"/>
          </w:tcPr>
          <w:p w14:paraId="528025E0" w14:textId="77777777" w:rsidR="00350AC2" w:rsidRPr="00AC665A" w:rsidRDefault="00350AC2" w:rsidP="004565AA">
            <w:pPr>
              <w:spacing w:line="288" w:lineRule="auto"/>
              <w:jc w:val="center"/>
              <w:rPr>
                <w:rFonts w:ascii="Arial" w:hAnsi="Arial" w:cs="Arial"/>
                <w:sz w:val="18"/>
                <w:szCs w:val="18"/>
              </w:rPr>
            </w:pPr>
            <w:r w:rsidRPr="00AC665A">
              <w:rPr>
                <w:rFonts w:ascii="Arial" w:hAnsi="Arial" w:cs="Arial"/>
                <w:sz w:val="18"/>
                <w:szCs w:val="18"/>
              </w:rPr>
              <w:t>+ 50</w:t>
            </w:r>
          </w:p>
        </w:tc>
      </w:tr>
    </w:tbl>
    <w:p w14:paraId="5A748AA7" w14:textId="77777777" w:rsidR="00350AC2" w:rsidRPr="00AC665A" w:rsidRDefault="00350AC2" w:rsidP="00350AC2">
      <w:pPr>
        <w:spacing w:line="288" w:lineRule="auto"/>
        <w:rPr>
          <w:sz w:val="20"/>
          <w:szCs w:val="20"/>
        </w:rPr>
      </w:pPr>
    </w:p>
    <w:p w14:paraId="43F813BE" w14:textId="6B1B5D3F" w:rsidR="00350AC2" w:rsidRPr="00AC665A" w:rsidRDefault="00350AC2" w:rsidP="00350AC2">
      <w:pPr>
        <w:spacing w:line="288" w:lineRule="auto"/>
        <w:jc w:val="both"/>
        <w:rPr>
          <w:sz w:val="22"/>
          <w:szCs w:val="22"/>
        </w:rPr>
      </w:pPr>
      <w:r w:rsidRPr="00AC665A">
        <w:rPr>
          <w:sz w:val="22"/>
          <w:szCs w:val="22"/>
        </w:rPr>
        <w:t xml:space="preserve">Bei freiem Kapitalverkehr kann </w:t>
      </w:r>
      <w:r w:rsidR="00E6033D" w:rsidRPr="00AC665A">
        <w:rPr>
          <w:sz w:val="22"/>
          <w:szCs w:val="22"/>
        </w:rPr>
        <w:t xml:space="preserve">allerdings </w:t>
      </w:r>
      <w:r w:rsidRPr="00AC665A">
        <w:rPr>
          <w:sz w:val="22"/>
          <w:szCs w:val="22"/>
        </w:rPr>
        <w:t>die Sterilisierungspolitik dauerhaft nicht funktionieren</w:t>
      </w:r>
      <w:r w:rsidR="00247C9B" w:rsidRPr="00AC665A">
        <w:rPr>
          <w:sz w:val="22"/>
          <w:szCs w:val="22"/>
        </w:rPr>
        <w:t>, wenn die Notenbank gleichzeitig die Wechselkursstabilität anstrebt</w:t>
      </w:r>
      <w:r w:rsidRPr="00AC665A">
        <w:rPr>
          <w:sz w:val="22"/>
          <w:szCs w:val="22"/>
        </w:rPr>
        <w:t xml:space="preserve">. </w:t>
      </w:r>
      <w:r w:rsidR="00247C9B" w:rsidRPr="00AC665A">
        <w:rPr>
          <w:sz w:val="22"/>
          <w:szCs w:val="22"/>
        </w:rPr>
        <w:t>Diese</w:t>
      </w:r>
      <w:r w:rsidR="007A1930" w:rsidRPr="00AC665A">
        <w:rPr>
          <w:sz w:val="22"/>
          <w:szCs w:val="22"/>
        </w:rPr>
        <w:t xml:space="preserve"> Inkompatibilität zwischen den drei Zielen</w:t>
      </w:r>
      <w:r w:rsidR="00E94AC3" w:rsidRPr="00AC665A">
        <w:rPr>
          <w:sz w:val="22"/>
          <w:szCs w:val="22"/>
        </w:rPr>
        <w:t xml:space="preserve"> – freier Kapitalverkehr, stabiler Wechselkurs und geldpolitische Autonomie – ist unter dem Begriff </w:t>
      </w:r>
      <w:r w:rsidR="000A0CE3" w:rsidRPr="00AC665A">
        <w:rPr>
          <w:sz w:val="22"/>
          <w:szCs w:val="22"/>
        </w:rPr>
        <w:t xml:space="preserve">der </w:t>
      </w:r>
      <w:r w:rsidR="000C0B9C" w:rsidRPr="00AC665A">
        <w:rPr>
          <w:b/>
          <w:bCs/>
          <w:sz w:val="22"/>
          <w:szCs w:val="22"/>
        </w:rPr>
        <w:t>Unmöglichkeit der Dreieinigkeit</w:t>
      </w:r>
      <w:r w:rsidR="000C0B9C" w:rsidRPr="00AC665A">
        <w:rPr>
          <w:sz w:val="22"/>
          <w:szCs w:val="22"/>
        </w:rPr>
        <w:t xml:space="preserve"> bekannt. </w:t>
      </w:r>
      <w:r w:rsidRPr="00AC665A">
        <w:rPr>
          <w:sz w:val="22"/>
          <w:szCs w:val="22"/>
        </w:rPr>
        <w:t>Ist z.</w:t>
      </w:r>
      <w:r w:rsidR="00E6033D" w:rsidRPr="00AC665A">
        <w:rPr>
          <w:sz w:val="22"/>
          <w:szCs w:val="22"/>
        </w:rPr>
        <w:t xml:space="preserve"> </w:t>
      </w:r>
      <w:r w:rsidRPr="00AC665A">
        <w:rPr>
          <w:sz w:val="22"/>
          <w:szCs w:val="22"/>
        </w:rPr>
        <w:t>B. der inländische Zinssatz so hoch, dass ein ständiger Devisenbilanzüberschuss besteht, so muss die Zentralbank ständig Devisen kaufen, um den Wechselkurs stabil zu halten. Die Anleger profitieren von den höheren Zinsen. Zusätzlich können sie darauf hoffen (oder spekulieren), dass irgendwann der Wechselkurs freigegeben wird. In diesem Fall würde die Inlandswährung aufwerten und die Anleger hätten einen zusätzlichen Gewinn. Die Anleger können also nicht verlieren. Dies bedeutet, dass immer mehr Auslandsaktiva in das Land fließen und die Devisenreserven sich vergrößern. Letztendlich wird ein Punkt erreicht, an dem eine Reduzierung der inländischen Komponente der Geldbasis durch Verkauf von Inlandsaktiva nicht mehr möglich ist. Überlegen Sie selbst die Konsequenzen, die sich bei einem Abfluss an Devisen für ein Land ergeben.</w:t>
      </w:r>
    </w:p>
    <w:p w14:paraId="49A9A1CC" w14:textId="0B86C1BA" w:rsidR="00350AC2" w:rsidRPr="00AC665A" w:rsidRDefault="00350AC2" w:rsidP="00350AC2">
      <w:pPr>
        <w:spacing w:before="240" w:after="240" w:line="288" w:lineRule="auto"/>
        <w:rPr>
          <w:b/>
          <w:sz w:val="22"/>
          <w:szCs w:val="22"/>
        </w:rPr>
      </w:pPr>
      <w:r w:rsidRPr="00AC665A">
        <w:rPr>
          <w:b/>
          <w:sz w:val="22"/>
          <w:szCs w:val="22"/>
        </w:rPr>
        <w:t>Funktionsbedingungen des EWS</w:t>
      </w:r>
    </w:p>
    <w:p w14:paraId="2E09DBD7" w14:textId="1A6ABDD1" w:rsidR="00350AC2" w:rsidRPr="00AC665A" w:rsidRDefault="00350AC2" w:rsidP="00350AC2">
      <w:pPr>
        <w:spacing w:line="288" w:lineRule="auto"/>
        <w:rPr>
          <w:sz w:val="22"/>
          <w:szCs w:val="22"/>
        </w:rPr>
      </w:pPr>
      <w:r w:rsidRPr="00AC665A">
        <w:rPr>
          <w:sz w:val="22"/>
          <w:szCs w:val="22"/>
        </w:rPr>
        <w:t xml:space="preserve">Ein System wie das EWS muss eine </w:t>
      </w:r>
      <w:r w:rsidRPr="00AC665A">
        <w:rPr>
          <w:b/>
          <w:sz w:val="22"/>
          <w:szCs w:val="22"/>
        </w:rPr>
        <w:t>formale Symmetrie</w:t>
      </w:r>
      <w:r w:rsidRPr="00AC665A">
        <w:rPr>
          <w:sz w:val="22"/>
          <w:szCs w:val="22"/>
        </w:rPr>
        <w:t xml:space="preserve"> bei der Durchführung von Interventionen am Devisenmarkt seitens der Stark- und Schwachwährungsländer aufweisen. </w:t>
      </w:r>
    </w:p>
    <w:p w14:paraId="4B438A77" w14:textId="77777777" w:rsidR="00350AC2" w:rsidRPr="00AC665A" w:rsidRDefault="00350AC2" w:rsidP="00350AC2">
      <w:pPr>
        <w:spacing w:line="288" w:lineRule="auto"/>
        <w:rPr>
          <w:sz w:val="22"/>
          <w:szCs w:val="22"/>
        </w:rPr>
      </w:pPr>
    </w:p>
    <w:tbl>
      <w:tblPr>
        <w:tblStyle w:val="Tabellenraster"/>
        <w:tblW w:w="8100" w:type="dxa"/>
        <w:tblInd w:w="108" w:type="dxa"/>
        <w:tblLayout w:type="fixed"/>
        <w:tblLook w:val="01E0" w:firstRow="1" w:lastRow="1" w:firstColumn="1" w:lastColumn="1" w:noHBand="0" w:noVBand="0"/>
      </w:tblPr>
      <w:tblGrid>
        <w:gridCol w:w="2876"/>
        <w:gridCol w:w="1695"/>
        <w:gridCol w:w="2049"/>
        <w:gridCol w:w="1480"/>
      </w:tblGrid>
      <w:tr w:rsidR="00350AC2" w:rsidRPr="00AC665A" w14:paraId="22188EE0" w14:textId="77777777" w:rsidTr="004565AA">
        <w:tc>
          <w:tcPr>
            <w:tcW w:w="2876" w:type="dxa"/>
            <w:shd w:val="clear" w:color="auto" w:fill="D9D9D9" w:themeFill="background1" w:themeFillShade="D9"/>
          </w:tcPr>
          <w:p w14:paraId="7923DC61" w14:textId="77777777" w:rsidR="00350AC2" w:rsidRPr="00AC665A" w:rsidRDefault="00350AC2" w:rsidP="004565AA">
            <w:pPr>
              <w:rPr>
                <w:rFonts w:ascii="Arial" w:hAnsi="Arial" w:cs="Arial"/>
                <w:b/>
                <w:sz w:val="18"/>
                <w:szCs w:val="18"/>
              </w:rPr>
            </w:pPr>
          </w:p>
        </w:tc>
        <w:tc>
          <w:tcPr>
            <w:tcW w:w="1695" w:type="dxa"/>
            <w:shd w:val="clear" w:color="auto" w:fill="D9D9D9" w:themeFill="background1" w:themeFillShade="D9"/>
          </w:tcPr>
          <w:p w14:paraId="6FCA7DAE"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starke Währung (DM)</w:t>
            </w:r>
          </w:p>
        </w:tc>
        <w:tc>
          <w:tcPr>
            <w:tcW w:w="2049" w:type="dxa"/>
            <w:shd w:val="clear" w:color="auto" w:fill="D9D9D9" w:themeFill="background1" w:themeFillShade="D9"/>
          </w:tcPr>
          <w:p w14:paraId="46447392"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schwache Währung (FF)</w:t>
            </w:r>
          </w:p>
        </w:tc>
        <w:tc>
          <w:tcPr>
            <w:tcW w:w="1480" w:type="dxa"/>
            <w:shd w:val="clear" w:color="auto" w:fill="D9D9D9" w:themeFill="background1" w:themeFillShade="D9"/>
          </w:tcPr>
          <w:p w14:paraId="4B128F84" w14:textId="77777777" w:rsidR="00350AC2" w:rsidRPr="00AC665A" w:rsidRDefault="00350AC2" w:rsidP="004565AA">
            <w:pPr>
              <w:jc w:val="center"/>
              <w:rPr>
                <w:rFonts w:ascii="Arial" w:hAnsi="Arial" w:cs="Arial"/>
                <w:b/>
                <w:sz w:val="18"/>
                <w:szCs w:val="18"/>
              </w:rPr>
            </w:pPr>
            <w:r w:rsidRPr="00AC665A">
              <w:rPr>
                <w:rFonts w:ascii="Arial" w:hAnsi="Arial" w:cs="Arial"/>
                <w:b/>
                <w:sz w:val="18"/>
                <w:szCs w:val="18"/>
              </w:rPr>
              <w:t>inländische Geldmenge</w:t>
            </w:r>
          </w:p>
        </w:tc>
      </w:tr>
      <w:tr w:rsidR="00350AC2" w:rsidRPr="00AC665A" w14:paraId="0F2E33DF" w14:textId="77777777" w:rsidTr="004565AA">
        <w:tc>
          <w:tcPr>
            <w:tcW w:w="2876" w:type="dxa"/>
          </w:tcPr>
          <w:p w14:paraId="232DEBA3" w14:textId="77777777" w:rsidR="00350AC2" w:rsidRPr="00AC665A" w:rsidRDefault="00350AC2" w:rsidP="004565AA">
            <w:pPr>
              <w:rPr>
                <w:rFonts w:ascii="Arial" w:hAnsi="Arial" w:cs="Arial"/>
                <w:sz w:val="18"/>
                <w:szCs w:val="18"/>
              </w:rPr>
            </w:pPr>
            <w:r w:rsidRPr="00AC665A">
              <w:rPr>
                <w:rFonts w:ascii="Arial" w:hAnsi="Arial" w:cs="Arial"/>
                <w:sz w:val="18"/>
                <w:szCs w:val="18"/>
              </w:rPr>
              <w:t>Schwachwährungsland</w:t>
            </w:r>
          </w:p>
          <w:p w14:paraId="33B591E6" w14:textId="77777777" w:rsidR="00350AC2" w:rsidRPr="00AC665A" w:rsidRDefault="00350AC2" w:rsidP="004565AA">
            <w:pPr>
              <w:rPr>
                <w:rFonts w:ascii="Arial" w:hAnsi="Arial" w:cs="Arial"/>
                <w:sz w:val="18"/>
                <w:szCs w:val="18"/>
              </w:rPr>
            </w:pPr>
            <w:r w:rsidRPr="00AC665A">
              <w:rPr>
                <w:rFonts w:ascii="Arial" w:hAnsi="Arial" w:cs="Arial"/>
                <w:sz w:val="18"/>
                <w:szCs w:val="18"/>
              </w:rPr>
              <w:t>(hier FF)</w:t>
            </w:r>
          </w:p>
        </w:tc>
        <w:tc>
          <w:tcPr>
            <w:tcW w:w="1695" w:type="dxa"/>
          </w:tcPr>
          <w:p w14:paraId="57AAFB8C" w14:textId="77777777" w:rsidR="00350AC2" w:rsidRPr="00AC665A" w:rsidRDefault="00350AC2" w:rsidP="004565AA">
            <w:pPr>
              <w:jc w:val="center"/>
              <w:rPr>
                <w:rFonts w:ascii="Arial" w:hAnsi="Arial" w:cs="Arial"/>
                <w:sz w:val="18"/>
                <w:szCs w:val="18"/>
              </w:rPr>
            </w:pPr>
            <w:r w:rsidRPr="00AC665A">
              <w:rPr>
                <w:rFonts w:ascii="Arial" w:hAnsi="Arial" w:cs="Arial"/>
                <w:sz w:val="18"/>
                <w:szCs w:val="18"/>
              </w:rPr>
              <w:t>verkaufen gegen FF</w:t>
            </w:r>
          </w:p>
        </w:tc>
        <w:tc>
          <w:tcPr>
            <w:tcW w:w="2049" w:type="dxa"/>
          </w:tcPr>
          <w:p w14:paraId="5580FF47" w14:textId="77777777" w:rsidR="00350AC2" w:rsidRPr="00AC665A" w:rsidRDefault="00350AC2" w:rsidP="004565AA">
            <w:pPr>
              <w:jc w:val="center"/>
              <w:rPr>
                <w:rFonts w:ascii="Arial" w:hAnsi="Arial" w:cs="Arial"/>
                <w:sz w:val="18"/>
                <w:szCs w:val="18"/>
              </w:rPr>
            </w:pPr>
          </w:p>
        </w:tc>
        <w:tc>
          <w:tcPr>
            <w:tcW w:w="1480" w:type="dxa"/>
            <w:vAlign w:val="center"/>
          </w:tcPr>
          <w:p w14:paraId="50CE2354" w14:textId="77777777" w:rsidR="00350AC2" w:rsidRPr="00AC665A" w:rsidRDefault="00350AC2" w:rsidP="004565AA">
            <w:pPr>
              <w:jc w:val="center"/>
              <w:rPr>
                <w:rFonts w:ascii="Arial" w:hAnsi="Arial" w:cs="Arial"/>
                <w:sz w:val="18"/>
                <w:szCs w:val="18"/>
              </w:rPr>
            </w:pPr>
            <w:r w:rsidRPr="00AC665A">
              <w:rPr>
                <w:rFonts w:ascii="Arial" w:hAnsi="Arial" w:cs="Arial"/>
                <w:sz w:val="18"/>
                <w:szCs w:val="18"/>
              </w:rPr>
              <w:t>sinkt</w:t>
            </w:r>
          </w:p>
        </w:tc>
      </w:tr>
      <w:tr w:rsidR="00350AC2" w:rsidRPr="00AC665A" w14:paraId="681F29ED" w14:textId="77777777" w:rsidTr="00F94D3C">
        <w:tc>
          <w:tcPr>
            <w:tcW w:w="2876" w:type="dxa"/>
          </w:tcPr>
          <w:p w14:paraId="7A88AA21" w14:textId="77777777" w:rsidR="00350AC2" w:rsidRPr="00AC665A" w:rsidRDefault="00350AC2" w:rsidP="004565AA">
            <w:pPr>
              <w:rPr>
                <w:rFonts w:ascii="Arial" w:hAnsi="Arial" w:cs="Arial"/>
                <w:sz w:val="18"/>
                <w:szCs w:val="18"/>
              </w:rPr>
            </w:pPr>
            <w:r w:rsidRPr="00AC665A">
              <w:rPr>
                <w:rFonts w:ascii="Arial" w:hAnsi="Arial" w:cs="Arial"/>
                <w:sz w:val="18"/>
                <w:szCs w:val="18"/>
              </w:rPr>
              <w:t xml:space="preserve">Hartwährungsland </w:t>
            </w:r>
          </w:p>
          <w:p w14:paraId="67F3B610" w14:textId="77777777" w:rsidR="00350AC2" w:rsidRPr="00AC665A" w:rsidRDefault="00350AC2" w:rsidP="004565AA">
            <w:pPr>
              <w:rPr>
                <w:rFonts w:ascii="Arial" w:hAnsi="Arial" w:cs="Arial"/>
                <w:sz w:val="18"/>
                <w:szCs w:val="18"/>
              </w:rPr>
            </w:pPr>
            <w:r w:rsidRPr="00AC665A">
              <w:rPr>
                <w:rFonts w:ascii="Arial" w:hAnsi="Arial" w:cs="Arial"/>
                <w:sz w:val="18"/>
                <w:szCs w:val="18"/>
              </w:rPr>
              <w:t>(hier DM)</w:t>
            </w:r>
          </w:p>
        </w:tc>
        <w:tc>
          <w:tcPr>
            <w:tcW w:w="1695" w:type="dxa"/>
          </w:tcPr>
          <w:p w14:paraId="0B9C6A3E" w14:textId="77777777" w:rsidR="00350AC2" w:rsidRPr="00AC665A" w:rsidRDefault="00350AC2" w:rsidP="004565AA">
            <w:pPr>
              <w:jc w:val="center"/>
              <w:rPr>
                <w:rFonts w:ascii="Arial" w:hAnsi="Arial" w:cs="Arial"/>
                <w:sz w:val="18"/>
                <w:szCs w:val="18"/>
              </w:rPr>
            </w:pPr>
          </w:p>
        </w:tc>
        <w:tc>
          <w:tcPr>
            <w:tcW w:w="2049" w:type="dxa"/>
            <w:vAlign w:val="center"/>
          </w:tcPr>
          <w:p w14:paraId="0AA48B9E" w14:textId="77777777" w:rsidR="00350AC2" w:rsidRPr="00AC665A" w:rsidRDefault="00350AC2" w:rsidP="00F94D3C">
            <w:pPr>
              <w:jc w:val="center"/>
              <w:rPr>
                <w:rFonts w:ascii="Arial" w:hAnsi="Arial" w:cs="Arial"/>
                <w:sz w:val="18"/>
                <w:szCs w:val="18"/>
              </w:rPr>
            </w:pPr>
            <w:r w:rsidRPr="00AC665A">
              <w:rPr>
                <w:rFonts w:ascii="Arial" w:hAnsi="Arial" w:cs="Arial"/>
                <w:sz w:val="18"/>
                <w:szCs w:val="18"/>
              </w:rPr>
              <w:t>aufkaufen gegen DM</w:t>
            </w:r>
          </w:p>
        </w:tc>
        <w:tc>
          <w:tcPr>
            <w:tcW w:w="1480" w:type="dxa"/>
            <w:vAlign w:val="center"/>
          </w:tcPr>
          <w:p w14:paraId="658CDDA0" w14:textId="77777777" w:rsidR="00350AC2" w:rsidRPr="00AC665A" w:rsidRDefault="00350AC2" w:rsidP="004565AA">
            <w:pPr>
              <w:jc w:val="center"/>
              <w:rPr>
                <w:rFonts w:ascii="Arial" w:hAnsi="Arial" w:cs="Arial"/>
                <w:sz w:val="18"/>
                <w:szCs w:val="18"/>
              </w:rPr>
            </w:pPr>
            <w:r w:rsidRPr="00AC665A">
              <w:rPr>
                <w:rFonts w:ascii="Arial" w:hAnsi="Arial" w:cs="Arial"/>
                <w:sz w:val="18"/>
                <w:szCs w:val="18"/>
              </w:rPr>
              <w:t>steigt</w:t>
            </w:r>
          </w:p>
        </w:tc>
      </w:tr>
      <w:tr w:rsidR="00350AC2" w:rsidRPr="00AC665A" w14:paraId="038334E5" w14:textId="77777777" w:rsidTr="004565AA">
        <w:trPr>
          <w:trHeight w:val="454"/>
        </w:trPr>
        <w:tc>
          <w:tcPr>
            <w:tcW w:w="8100" w:type="dxa"/>
            <w:gridSpan w:val="4"/>
            <w:vAlign w:val="center"/>
          </w:tcPr>
          <w:p w14:paraId="0E984B08" w14:textId="77777777" w:rsidR="00350AC2" w:rsidRPr="00AC665A" w:rsidRDefault="00350AC2" w:rsidP="004565AA">
            <w:pPr>
              <w:rPr>
                <w:rFonts w:ascii="Arial" w:hAnsi="Arial" w:cs="Arial"/>
                <w:sz w:val="18"/>
                <w:szCs w:val="18"/>
              </w:rPr>
            </w:pPr>
            <w:r w:rsidRPr="00AC665A">
              <w:rPr>
                <w:rFonts w:ascii="Arial" w:hAnsi="Arial" w:cs="Arial"/>
                <w:sz w:val="18"/>
                <w:szCs w:val="18"/>
              </w:rPr>
              <w:t>ohne Neutralisierungspolitik</w:t>
            </w:r>
          </w:p>
        </w:tc>
      </w:tr>
    </w:tbl>
    <w:p w14:paraId="5B90F780" w14:textId="77777777" w:rsidR="00350AC2" w:rsidRPr="00AC665A" w:rsidRDefault="00350AC2" w:rsidP="00350AC2">
      <w:pPr>
        <w:spacing w:line="288" w:lineRule="auto"/>
        <w:rPr>
          <w:sz w:val="22"/>
          <w:szCs w:val="22"/>
        </w:rPr>
      </w:pPr>
    </w:p>
    <w:p w14:paraId="6373E02F" w14:textId="77777777" w:rsidR="00350AC2" w:rsidRPr="00AC665A" w:rsidRDefault="00350AC2" w:rsidP="00350AC2">
      <w:pPr>
        <w:spacing w:line="288" w:lineRule="auto"/>
        <w:jc w:val="both"/>
        <w:rPr>
          <w:sz w:val="22"/>
          <w:szCs w:val="22"/>
        </w:rPr>
      </w:pPr>
      <w:r w:rsidRPr="00AC665A">
        <w:rPr>
          <w:sz w:val="22"/>
          <w:szCs w:val="22"/>
        </w:rPr>
        <w:t xml:space="preserve">Zur Stabilisierung der EWS-Wechselkurse existierten zwei Formen der Intervention. Mit </w:t>
      </w:r>
      <w:r w:rsidRPr="00AC665A">
        <w:rPr>
          <w:b/>
          <w:bCs/>
          <w:iCs/>
          <w:sz w:val="22"/>
          <w:szCs w:val="22"/>
        </w:rPr>
        <w:t>obligatorischen Interventionen</w:t>
      </w:r>
      <w:r w:rsidRPr="00AC665A">
        <w:rPr>
          <w:sz w:val="22"/>
          <w:szCs w:val="22"/>
        </w:rPr>
        <w:t xml:space="preserve"> griffen die teilnehmenden Zentralbanken immer dann in das Marktgeschehen ein, wenn ihre Währungen gegenüber einer Partnerwährung den oberen bzw. unteren Interventionspunkt erreichten. Obligatorische Interventionen erfolgten grundsätzlich in Teilnehmerwährungen. Im Falle der </w:t>
      </w:r>
      <w:r w:rsidRPr="00AC665A">
        <w:rPr>
          <w:b/>
          <w:bCs/>
          <w:iCs/>
          <w:sz w:val="22"/>
          <w:szCs w:val="22"/>
        </w:rPr>
        <w:t>intramarginalen</w:t>
      </w:r>
      <w:r w:rsidRPr="00AC665A">
        <w:rPr>
          <w:b/>
          <w:bCs/>
          <w:sz w:val="22"/>
          <w:szCs w:val="22"/>
        </w:rPr>
        <w:t xml:space="preserve"> </w:t>
      </w:r>
      <w:r w:rsidRPr="00AC665A">
        <w:rPr>
          <w:b/>
          <w:bCs/>
          <w:iCs/>
          <w:sz w:val="22"/>
          <w:szCs w:val="22"/>
        </w:rPr>
        <w:t>Interventionen</w:t>
      </w:r>
      <w:r w:rsidRPr="00AC665A">
        <w:rPr>
          <w:sz w:val="22"/>
          <w:szCs w:val="22"/>
        </w:rPr>
        <w:t xml:space="preserve"> wurden die Notenbanken dagegen auch schon dann aktiv, wenn der Wechselkurs sich noch innerhalb der Bandbreite befand. Hier waren auch andere Währungen als Interventionswährungen gestattet. </w:t>
      </w:r>
    </w:p>
    <w:p w14:paraId="6F6C607C" w14:textId="77777777" w:rsidR="00350AC2" w:rsidRPr="00AC665A" w:rsidRDefault="00350AC2" w:rsidP="00350AC2">
      <w:pPr>
        <w:spacing w:line="288" w:lineRule="auto"/>
        <w:jc w:val="both"/>
        <w:rPr>
          <w:sz w:val="22"/>
          <w:szCs w:val="22"/>
        </w:rPr>
      </w:pPr>
    </w:p>
    <w:p w14:paraId="636BDC02" w14:textId="21AF8AEF" w:rsidR="00991205" w:rsidRPr="00AC665A" w:rsidRDefault="00350AC2" w:rsidP="00E31255">
      <w:pPr>
        <w:spacing w:line="288" w:lineRule="auto"/>
        <w:jc w:val="both"/>
        <w:rPr>
          <w:b/>
          <w:bCs/>
          <w:sz w:val="22"/>
          <w:szCs w:val="22"/>
        </w:rPr>
      </w:pPr>
      <w:r w:rsidRPr="00AC665A">
        <w:rPr>
          <w:sz w:val="22"/>
          <w:szCs w:val="22"/>
        </w:rPr>
        <w:t>Um Wechselkursspannungen auf Dauer zu verhindern, musste die Geldpolitik der teilnehmenden Länder auf die Erfordernisse des Wechselkurszusammenhalts ausgerichtet und ein höheres Maß an Konvergenz erreicht werden. Interventionen konnten nur die erste Maßnahme der Zentralbanken sein, um die Wechselkurse ihrer Währungen anhaltend zu stabilisieren. Das EWS sah daher bei dauerhaften Spannungen Leitkursänderungen (</w:t>
      </w:r>
      <w:proofErr w:type="spellStart"/>
      <w:r w:rsidRPr="00AC665A">
        <w:rPr>
          <w:i/>
          <w:sz w:val="22"/>
          <w:szCs w:val="22"/>
        </w:rPr>
        <w:t>realignments</w:t>
      </w:r>
      <w:proofErr w:type="spellEnd"/>
      <w:r w:rsidRPr="00AC665A">
        <w:rPr>
          <w:sz w:val="22"/>
          <w:szCs w:val="22"/>
        </w:rPr>
        <w:t>) vor. Grundsätzlich zwingen Festkurssysteme die Mitgliedstaaten dazu, in ihrer Politik jenem Land zu folgen, dessen Politik auf Geldwertstabilität ausgerichtet ist. Innerhalb des EWS hatte Deutschland diese Rolle inne. Die Länder, die keine Abwertung ihrer Währungen gegenüber der DM hinnehmen wollten, mussten der Politik der Bundesbank folgen</w:t>
      </w:r>
      <w:r w:rsidR="000C71E5" w:rsidRPr="00AC665A">
        <w:rPr>
          <w:sz w:val="22"/>
          <w:szCs w:val="22"/>
        </w:rPr>
        <w:t>. So entstand eine</w:t>
      </w:r>
      <w:r w:rsidRPr="00AC665A">
        <w:rPr>
          <w:sz w:val="22"/>
          <w:szCs w:val="22"/>
        </w:rPr>
        <w:t xml:space="preserve"> Asymmetrie</w:t>
      </w:r>
      <w:r w:rsidR="000C71E5" w:rsidRPr="00AC665A">
        <w:rPr>
          <w:sz w:val="22"/>
          <w:szCs w:val="22"/>
        </w:rPr>
        <w:t xml:space="preserve"> innerhalb de</w:t>
      </w:r>
      <w:r w:rsidR="00176E5F" w:rsidRPr="00AC665A">
        <w:rPr>
          <w:sz w:val="22"/>
          <w:szCs w:val="22"/>
        </w:rPr>
        <w:t>s EWS zwischen Deutschland einerseits und der anderen Mitglieder anderseits</w:t>
      </w:r>
      <w:r w:rsidRPr="00AC665A">
        <w:rPr>
          <w:sz w:val="22"/>
          <w:szCs w:val="22"/>
        </w:rPr>
        <w:t>. Eine eigenständige, an nationalen wirtschaftspolitischen Interessen ausgerichtete Politik</w:t>
      </w:r>
      <w:r w:rsidR="00F63903" w:rsidRPr="00AC665A">
        <w:rPr>
          <w:sz w:val="22"/>
          <w:szCs w:val="22"/>
        </w:rPr>
        <w:t xml:space="preserve"> in den von der deutschen Geldpolitik abhängigen Mitgliedsländer</w:t>
      </w:r>
      <w:r w:rsidR="00E31255" w:rsidRPr="00AC665A">
        <w:rPr>
          <w:sz w:val="22"/>
          <w:szCs w:val="22"/>
        </w:rPr>
        <w:t>n</w:t>
      </w:r>
      <w:r w:rsidR="00176E5F" w:rsidRPr="00AC665A">
        <w:rPr>
          <w:sz w:val="22"/>
          <w:szCs w:val="22"/>
        </w:rPr>
        <w:t>,</w:t>
      </w:r>
      <w:r w:rsidRPr="00AC665A">
        <w:rPr>
          <w:sz w:val="22"/>
          <w:szCs w:val="22"/>
        </w:rPr>
        <w:t xml:space="preserve"> musste aufgegeben werden. </w:t>
      </w:r>
      <w:r w:rsidR="00991205" w:rsidRPr="00AC665A">
        <w:rPr>
          <w:b/>
          <w:bCs/>
          <w:sz w:val="22"/>
          <w:szCs w:val="22"/>
        </w:rPr>
        <w:br w:type="page"/>
      </w:r>
    </w:p>
    <w:p w14:paraId="1BB86E88" w14:textId="469849B8" w:rsidR="00350AC2" w:rsidRPr="00AC665A" w:rsidRDefault="00350AC2" w:rsidP="00350AC2">
      <w:pPr>
        <w:spacing w:before="240" w:after="240" w:line="288" w:lineRule="auto"/>
        <w:rPr>
          <w:sz w:val="22"/>
          <w:szCs w:val="22"/>
        </w:rPr>
      </w:pPr>
      <w:r w:rsidRPr="00AC665A">
        <w:rPr>
          <w:b/>
          <w:bCs/>
          <w:sz w:val="22"/>
          <w:szCs w:val="22"/>
        </w:rPr>
        <w:lastRenderedPageBreak/>
        <w:t>Deutsche Wiedervereinigung und die Krise des EWS 1992/93</w:t>
      </w:r>
    </w:p>
    <w:p w14:paraId="5E4017A0" w14:textId="77777777" w:rsidR="00B91BEC" w:rsidRPr="00AC665A" w:rsidRDefault="00350AC2" w:rsidP="00B91BEC">
      <w:pPr>
        <w:spacing w:after="60" w:line="288" w:lineRule="auto"/>
        <w:jc w:val="both"/>
        <w:rPr>
          <w:sz w:val="22"/>
          <w:szCs w:val="22"/>
        </w:rPr>
      </w:pPr>
      <w:r w:rsidRPr="00AC665A">
        <w:rPr>
          <w:sz w:val="22"/>
          <w:szCs w:val="22"/>
        </w:rPr>
        <w:t xml:space="preserve">Im Rahmen der deutschen Wiedervereinigung beschloss die Bundesregierung 1990 ein großangelegtes „Aufbauprogramm Ost“, das überwiegend kreditfinanziert wurde. Die staatliche Kreditnachfrage führte </w:t>
      </w:r>
      <w:proofErr w:type="gramStart"/>
      <w:r w:rsidRPr="00AC665A">
        <w:rPr>
          <w:sz w:val="22"/>
          <w:szCs w:val="22"/>
        </w:rPr>
        <w:t>über steigende</w:t>
      </w:r>
      <w:proofErr w:type="gramEnd"/>
      <w:r w:rsidRPr="00AC665A">
        <w:rPr>
          <w:sz w:val="22"/>
          <w:szCs w:val="22"/>
        </w:rPr>
        <w:t xml:space="preserve"> Zinsen und Kapitalimporte zu einem Anstieg der Nachfrage nach DM, sodass die DM unter Aufwertungsdruck geriet. Gleichzeitig war die Deutsche Bundesbank bemüht, durch eine restriktive Geldpolitik die Inflation einzudämmen, die durch die Lohnangleichung und die starke Konsumnachfrage in Ostdeutschland hervorgerufen wurde. Die restriktive Politik der Bundesbank trieb die Zinsen in die Höhe, wodurch sich der Aufwertungsdruck auf die DM weiter erhöhte. </w:t>
      </w:r>
    </w:p>
    <w:p w14:paraId="53243369" w14:textId="77777777" w:rsidR="00A054B1" w:rsidRPr="00AC665A" w:rsidRDefault="00B91BEC" w:rsidP="00A054B1">
      <w:pPr>
        <w:spacing w:after="60" w:line="288" w:lineRule="auto"/>
        <w:jc w:val="both"/>
        <w:rPr>
          <w:sz w:val="22"/>
          <w:szCs w:val="22"/>
        </w:rPr>
      </w:pPr>
      <w:r w:rsidRPr="00AC665A">
        <w:rPr>
          <w:sz w:val="22"/>
          <w:szCs w:val="22"/>
        </w:rPr>
        <w:t>D</w:t>
      </w:r>
      <w:r w:rsidR="00350AC2" w:rsidRPr="00AC665A">
        <w:rPr>
          <w:sz w:val="22"/>
          <w:szCs w:val="22"/>
        </w:rPr>
        <w:t>ie Partnerstaaten im EWS</w:t>
      </w:r>
      <w:r w:rsidRPr="00AC665A">
        <w:rPr>
          <w:sz w:val="22"/>
          <w:szCs w:val="22"/>
        </w:rPr>
        <w:t xml:space="preserve"> waren gezwungen – um dem Abwertungsdruck auf ihre eigenen Währungen zu begegnen –</w:t>
      </w:r>
      <w:r w:rsidR="00350AC2" w:rsidRPr="00AC665A">
        <w:rPr>
          <w:sz w:val="22"/>
          <w:szCs w:val="22"/>
        </w:rPr>
        <w:t xml:space="preserve"> am Devisenmarkt zu </w:t>
      </w:r>
      <w:r w:rsidR="002921BB" w:rsidRPr="00AC665A">
        <w:rPr>
          <w:sz w:val="22"/>
          <w:szCs w:val="22"/>
        </w:rPr>
        <w:t xml:space="preserve">regelmäßig </w:t>
      </w:r>
      <w:r w:rsidR="00350AC2" w:rsidRPr="00AC665A">
        <w:rPr>
          <w:sz w:val="22"/>
          <w:szCs w:val="22"/>
        </w:rPr>
        <w:t>intervenieren und DM aus ihren Devisenreserven zu verkaufen. Dies hatte entsprechende restriktive Effekte auf die eigene inländische Geldmenge. Wer den lästigen Interventionspflichten zuvorkommen wollte, musste sich der deutschen Hochzinspolitik anpassen und gleichfalls einen restriktiven geldpolitischen Kurs einschlagen. Dies war nicht im Sinn der meisten europäischen Länder, die sich, im Gegensatz zum wiedervereinigten Deutschland, mehrheitlich in der Rezession befanden. Durch den Zwang, den stabilen Wechselkurs zu verteidigen, konnten sie nicht vom Wiedervereinigungsboom profitieren. Sie beschuldigten die Deutsche Bundesbank</w:t>
      </w:r>
      <w:r w:rsidR="00E04E4E" w:rsidRPr="00AC665A">
        <w:rPr>
          <w:sz w:val="22"/>
          <w:szCs w:val="22"/>
        </w:rPr>
        <w:t>,</w:t>
      </w:r>
      <w:r w:rsidR="00350AC2" w:rsidRPr="00AC665A">
        <w:rPr>
          <w:sz w:val="22"/>
          <w:szCs w:val="22"/>
        </w:rPr>
        <w:t xml:space="preserve"> durch ihre Hochzinspolitik für die konjunkturelle Krise in Europa verantwortlich zu sein, doch die Bundesbank lehnte eine Änderung ihres geldpolitischen Kurses ab. </w:t>
      </w:r>
    </w:p>
    <w:p w14:paraId="0D752350" w14:textId="55164A10" w:rsidR="00350AC2" w:rsidRPr="00AC665A" w:rsidRDefault="00350AC2" w:rsidP="00350AC2">
      <w:pPr>
        <w:spacing w:line="288" w:lineRule="auto"/>
        <w:jc w:val="both"/>
        <w:rPr>
          <w:sz w:val="22"/>
          <w:szCs w:val="22"/>
        </w:rPr>
      </w:pPr>
      <w:r w:rsidRPr="00AC665A">
        <w:rPr>
          <w:sz w:val="22"/>
          <w:szCs w:val="22"/>
        </w:rPr>
        <w:t>Der wachsende Unwille in den europäischen Ländern, die festgelegten Währungsbandbreiten zu verteidigen, rief Spekulanten auf den Plan, die eine Abwertung bestimmter Währungen (insbesondere der italienischen Lira und des britischen Pfunds) erwarteten. Die Spekulationskäufe erhöhten den Abwertungsdruck. Die Krise führte schließlich im September 1992 zum Austritt Großbritanniens und Italiens aus dem EWS und schließlich zu einer Erweiterung der Schwankungsbreiten auf  +/-15</w:t>
      </w:r>
      <w:r w:rsidR="00991205" w:rsidRPr="00AC665A">
        <w:rPr>
          <w:sz w:val="22"/>
          <w:szCs w:val="22"/>
        </w:rPr>
        <w:t xml:space="preserve"> Prozent</w:t>
      </w:r>
      <w:r w:rsidRPr="00AC665A">
        <w:rPr>
          <w:sz w:val="22"/>
          <w:szCs w:val="22"/>
        </w:rPr>
        <w:t xml:space="preserve"> im Juli 1993 (Abb. </w:t>
      </w:r>
      <w:r w:rsidR="005632BF" w:rsidRPr="00AC665A">
        <w:rPr>
          <w:sz w:val="22"/>
          <w:szCs w:val="22"/>
        </w:rPr>
        <w:t>E.</w:t>
      </w:r>
      <w:r w:rsidRPr="00AC665A">
        <w:rPr>
          <w:sz w:val="22"/>
          <w:szCs w:val="22"/>
        </w:rPr>
        <w:t>20.</w:t>
      </w:r>
      <w:r w:rsidR="005632BF" w:rsidRPr="00AC665A">
        <w:rPr>
          <w:sz w:val="22"/>
          <w:szCs w:val="22"/>
        </w:rPr>
        <w:t>2</w:t>
      </w:r>
      <w:r w:rsidRPr="00AC665A">
        <w:rPr>
          <w:sz w:val="22"/>
          <w:szCs w:val="22"/>
        </w:rPr>
        <w:t>).</w:t>
      </w:r>
    </w:p>
    <w:p w14:paraId="61D8679D" w14:textId="77777777" w:rsidR="00350AC2" w:rsidRPr="00AC665A" w:rsidRDefault="00350AC2" w:rsidP="00350AC2">
      <w:pPr>
        <w:spacing w:line="288" w:lineRule="auto"/>
        <w:jc w:val="both"/>
        <w:rPr>
          <w:sz w:val="22"/>
          <w:szCs w:val="22"/>
        </w:rPr>
      </w:pPr>
    </w:p>
    <w:p w14:paraId="4D6B241E" w14:textId="1207643D" w:rsidR="00350AC2" w:rsidRPr="00AC665A" w:rsidRDefault="00350AC2" w:rsidP="00AC665A">
      <w:pPr>
        <w:pBdr>
          <w:top w:val="single" w:sz="4" w:space="1" w:color="auto"/>
          <w:left w:val="single" w:sz="4" w:space="4" w:color="auto"/>
          <w:bottom w:val="single" w:sz="4" w:space="1" w:color="auto"/>
          <w:right w:val="single" w:sz="4" w:space="4" w:color="auto"/>
        </w:pBdr>
        <w:spacing w:line="288" w:lineRule="auto"/>
        <w:jc w:val="center"/>
        <w:rPr>
          <w:sz w:val="22"/>
          <w:szCs w:val="22"/>
        </w:rPr>
      </w:pPr>
      <w:r w:rsidRPr="00AC665A">
        <w:rPr>
          <w:noProof/>
          <w:sz w:val="22"/>
          <w:szCs w:val="22"/>
        </w:rPr>
        <w:drawing>
          <wp:inline distT="0" distB="0" distL="0" distR="0" wp14:anchorId="51C7F084" wp14:editId="7E62C653">
            <wp:extent cx="5243461" cy="3420000"/>
            <wp:effectExtent l="0" t="0" r="0"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3461" cy="3420000"/>
                    </a:xfrm>
                    <a:prstGeom prst="rect">
                      <a:avLst/>
                    </a:prstGeom>
                    <a:noFill/>
                  </pic:spPr>
                </pic:pic>
              </a:graphicData>
            </a:graphic>
          </wp:inline>
        </w:drawing>
      </w:r>
    </w:p>
    <w:p w14:paraId="22556180" w14:textId="521C2A80" w:rsidR="00350AC2" w:rsidRPr="00AC665A" w:rsidRDefault="00350AC2" w:rsidP="00A054B1">
      <w:pPr>
        <w:spacing w:after="240" w:line="288" w:lineRule="auto"/>
        <w:jc w:val="center"/>
        <w:rPr>
          <w:i/>
          <w:sz w:val="22"/>
          <w:szCs w:val="22"/>
        </w:rPr>
      </w:pPr>
      <w:r w:rsidRPr="00AC665A">
        <w:rPr>
          <w:sz w:val="22"/>
          <w:szCs w:val="22"/>
        </w:rPr>
        <w:br w:type="textWrapping" w:clear="all"/>
      </w:r>
      <w:r w:rsidRPr="00AC665A">
        <w:rPr>
          <w:i/>
          <w:sz w:val="22"/>
          <w:szCs w:val="22"/>
        </w:rPr>
        <w:t xml:space="preserve">Abb. </w:t>
      </w:r>
      <w:r w:rsidR="005632BF" w:rsidRPr="00AC665A">
        <w:rPr>
          <w:i/>
          <w:sz w:val="22"/>
          <w:szCs w:val="22"/>
        </w:rPr>
        <w:t>E.</w:t>
      </w:r>
      <w:r w:rsidRPr="00AC665A">
        <w:rPr>
          <w:i/>
          <w:sz w:val="22"/>
          <w:szCs w:val="22"/>
        </w:rPr>
        <w:t>20.</w:t>
      </w:r>
      <w:r w:rsidR="005632BF" w:rsidRPr="00AC665A">
        <w:rPr>
          <w:i/>
          <w:sz w:val="22"/>
          <w:szCs w:val="22"/>
        </w:rPr>
        <w:t>2</w:t>
      </w:r>
      <w:r w:rsidRPr="00AC665A">
        <w:rPr>
          <w:i/>
          <w:sz w:val="22"/>
          <w:szCs w:val="22"/>
        </w:rPr>
        <w:t>: Wechselkurs Lira/DM und Bandbreiten im EWS</w:t>
      </w:r>
    </w:p>
    <w:p w14:paraId="52B3EEA6" w14:textId="5002F8AD" w:rsidR="00350AC2" w:rsidRPr="00AC665A" w:rsidRDefault="00350AC2" w:rsidP="00A054B1">
      <w:pPr>
        <w:spacing w:after="120" w:line="288" w:lineRule="auto"/>
        <w:rPr>
          <w:b/>
          <w:sz w:val="22"/>
          <w:szCs w:val="22"/>
        </w:rPr>
      </w:pPr>
      <w:r w:rsidRPr="00AC665A">
        <w:rPr>
          <w:b/>
          <w:sz w:val="22"/>
          <w:szCs w:val="22"/>
        </w:rPr>
        <w:lastRenderedPageBreak/>
        <w:t>Wechselkursmechanismus II (EWS II)</w:t>
      </w:r>
    </w:p>
    <w:p w14:paraId="5BD73803" w14:textId="25F94B31" w:rsidR="00350AC2" w:rsidRPr="00AC665A" w:rsidRDefault="00350AC2" w:rsidP="00350AC2">
      <w:pPr>
        <w:spacing w:line="288" w:lineRule="auto"/>
        <w:jc w:val="both"/>
        <w:rPr>
          <w:sz w:val="22"/>
          <w:szCs w:val="22"/>
        </w:rPr>
      </w:pPr>
      <w:r w:rsidRPr="00AC665A">
        <w:rPr>
          <w:sz w:val="22"/>
          <w:szCs w:val="22"/>
        </w:rPr>
        <w:t xml:space="preserve">Bereits bei den Verhandlungen um den Maastrichter Vertrag 1991/92 wurde deutlich, dass nicht alle EU-Staaten schon </w:t>
      </w:r>
      <w:r w:rsidR="00A95479" w:rsidRPr="00AC665A">
        <w:rPr>
          <w:sz w:val="22"/>
          <w:szCs w:val="22"/>
        </w:rPr>
        <w:t>zu Beginn an</w:t>
      </w:r>
      <w:r w:rsidRPr="00AC665A">
        <w:rPr>
          <w:sz w:val="22"/>
          <w:szCs w:val="22"/>
        </w:rPr>
        <w:t xml:space="preserve"> der Währungsunion teilnehmen wollten. Es galt für diese Staaten (so genannte </w:t>
      </w:r>
      <w:proofErr w:type="spellStart"/>
      <w:r w:rsidRPr="00AC665A">
        <w:rPr>
          <w:b/>
          <w:sz w:val="22"/>
          <w:szCs w:val="22"/>
        </w:rPr>
        <w:t>Pre</w:t>
      </w:r>
      <w:proofErr w:type="spellEnd"/>
      <w:r w:rsidRPr="00AC665A">
        <w:rPr>
          <w:b/>
          <w:sz w:val="22"/>
          <w:szCs w:val="22"/>
        </w:rPr>
        <w:t>-Ins</w:t>
      </w:r>
      <w:r w:rsidRPr="00AC665A">
        <w:rPr>
          <w:sz w:val="22"/>
          <w:szCs w:val="22"/>
        </w:rPr>
        <w:t xml:space="preserve">), Mechanismen zu schaffen, die einen späteren Beitritt möglich machen sollte. Generell behalten die </w:t>
      </w:r>
      <w:proofErr w:type="spellStart"/>
      <w:r w:rsidRPr="00AC665A">
        <w:rPr>
          <w:sz w:val="22"/>
          <w:szCs w:val="22"/>
        </w:rPr>
        <w:t>Pre</w:t>
      </w:r>
      <w:proofErr w:type="spellEnd"/>
      <w:r w:rsidRPr="00AC665A">
        <w:rPr>
          <w:sz w:val="22"/>
          <w:szCs w:val="22"/>
        </w:rPr>
        <w:t xml:space="preserve">-Ins ihre nationale Währung und die damit verbundene Souveränität ihrer Geldpolitik. Um mögliche Wechselkursvolatilitäten gering zu halten und die Brücke zur EWU nicht abbrechen zu lassen, wurde auf der Konferenz von Amsterdam 1997 ein neuer Wechselkursmechanismus (WKM II oder EWS II) beschlossen, der den </w:t>
      </w:r>
      <w:proofErr w:type="spellStart"/>
      <w:r w:rsidRPr="00AC665A">
        <w:rPr>
          <w:sz w:val="22"/>
          <w:szCs w:val="22"/>
        </w:rPr>
        <w:t>Pre</w:t>
      </w:r>
      <w:proofErr w:type="spellEnd"/>
      <w:r w:rsidRPr="00AC665A">
        <w:rPr>
          <w:sz w:val="22"/>
          <w:szCs w:val="22"/>
        </w:rPr>
        <w:t xml:space="preserve">-Ins eine enge Bindung an den Euro ermöglicht. </w:t>
      </w:r>
    </w:p>
    <w:p w14:paraId="6A8C9F88" w14:textId="77777777" w:rsidR="00350AC2" w:rsidRPr="00AC665A" w:rsidRDefault="00350AC2" w:rsidP="00350AC2">
      <w:pPr>
        <w:spacing w:line="288" w:lineRule="auto"/>
        <w:jc w:val="both"/>
        <w:rPr>
          <w:sz w:val="22"/>
          <w:szCs w:val="22"/>
        </w:rPr>
      </w:pPr>
    </w:p>
    <w:p w14:paraId="2FD11972" w14:textId="3F2638BC" w:rsidR="00350AC2" w:rsidRPr="00AC665A" w:rsidRDefault="00350AC2" w:rsidP="00350AC2">
      <w:pPr>
        <w:spacing w:line="288" w:lineRule="auto"/>
        <w:jc w:val="both"/>
        <w:rPr>
          <w:sz w:val="22"/>
          <w:szCs w:val="22"/>
        </w:rPr>
      </w:pPr>
      <w:r w:rsidRPr="00AC665A">
        <w:rPr>
          <w:sz w:val="22"/>
          <w:szCs w:val="22"/>
        </w:rPr>
        <w:t xml:space="preserve">Für die am EWS II teilnehmenden Währungen dürfen die Wechselkurse maximal um ± 15 Prozent gegenüber dem </w:t>
      </w:r>
      <w:hyperlink r:id="rId10" w:tooltip="Euro" w:history="1">
        <w:r w:rsidR="00991205" w:rsidRPr="00AC665A">
          <w:rPr>
            <w:rStyle w:val="Hyperlink"/>
            <w:color w:val="auto"/>
            <w:sz w:val="22"/>
            <w:szCs w:val="22"/>
            <w:u w:val="none"/>
          </w:rPr>
          <w:t>Euro</w:t>
        </w:r>
      </w:hyperlink>
      <w:r w:rsidRPr="00AC665A">
        <w:rPr>
          <w:sz w:val="22"/>
          <w:szCs w:val="22"/>
        </w:rPr>
        <w:t xml:space="preserve"> schwanken, es können aber auch engere Schwankungsbreiten festgelegt werden. Bei Erreichen der Schwankungsbreiten sind die EZB und die jeweiligen nationale</w:t>
      </w:r>
      <w:r w:rsidR="00991205" w:rsidRPr="00AC665A">
        <w:rPr>
          <w:sz w:val="22"/>
          <w:szCs w:val="22"/>
        </w:rPr>
        <w:t>n</w:t>
      </w:r>
      <w:r w:rsidRPr="00AC665A">
        <w:rPr>
          <w:sz w:val="22"/>
          <w:szCs w:val="22"/>
        </w:rPr>
        <w:t xml:space="preserve"> Zentralbank</w:t>
      </w:r>
      <w:r w:rsidR="00991205" w:rsidRPr="00AC665A">
        <w:rPr>
          <w:sz w:val="22"/>
          <w:szCs w:val="22"/>
        </w:rPr>
        <w:t>en</w:t>
      </w:r>
      <w:r w:rsidRPr="00AC665A">
        <w:rPr>
          <w:sz w:val="22"/>
          <w:szCs w:val="22"/>
        </w:rPr>
        <w:t xml:space="preserve"> zu Interventionen auf dem Devisenmarkt verpflichtet. Um der EWU beitreten zu können, sollte ein Land zunächst mindestens zwei Jahre Mitglied im EWS II sein. Bezüglich der Konvergenz müssen die </w:t>
      </w:r>
      <w:proofErr w:type="spellStart"/>
      <w:r w:rsidRPr="00AC665A">
        <w:rPr>
          <w:sz w:val="22"/>
          <w:szCs w:val="22"/>
        </w:rPr>
        <w:t>Pre</w:t>
      </w:r>
      <w:proofErr w:type="spellEnd"/>
      <w:r w:rsidRPr="00AC665A">
        <w:rPr>
          <w:sz w:val="22"/>
          <w:szCs w:val="22"/>
        </w:rPr>
        <w:t xml:space="preserve">-Ins die gleichen Bedingungen erfüllen, wie die Euro-Länder. Dazu müssen sie regelmäßig Konvergenzprogramme erstellen und vorlegen. Mindestens alle zwei Jahre oder auf Antrag eines der </w:t>
      </w:r>
      <w:proofErr w:type="spellStart"/>
      <w:r w:rsidRPr="00AC665A">
        <w:rPr>
          <w:sz w:val="22"/>
          <w:szCs w:val="22"/>
        </w:rPr>
        <w:t>Pre</w:t>
      </w:r>
      <w:proofErr w:type="spellEnd"/>
      <w:r w:rsidRPr="00AC665A">
        <w:rPr>
          <w:sz w:val="22"/>
          <w:szCs w:val="22"/>
        </w:rPr>
        <w:t xml:space="preserve">-Ins wird geprüft und entschieden, ob die Voraussetzungen für den Beitritt in die EWU erfüllt sind. </w:t>
      </w:r>
    </w:p>
    <w:p w14:paraId="03C9F99E" w14:textId="77777777" w:rsidR="00350AC2" w:rsidRPr="00AC665A" w:rsidRDefault="00350AC2" w:rsidP="00350AC2">
      <w:pPr>
        <w:spacing w:line="288" w:lineRule="auto"/>
        <w:jc w:val="both"/>
        <w:rPr>
          <w:sz w:val="22"/>
          <w:szCs w:val="22"/>
        </w:rPr>
      </w:pPr>
    </w:p>
    <w:p w14:paraId="342C2BCD" w14:textId="77777777" w:rsidR="008D66A2" w:rsidRDefault="00636537"/>
    <w:sectPr w:rsidR="008D66A2">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75A9" w14:textId="77777777" w:rsidR="00D849A9" w:rsidRDefault="00D849A9" w:rsidP="00760E49">
      <w:r>
        <w:separator/>
      </w:r>
    </w:p>
  </w:endnote>
  <w:endnote w:type="continuationSeparator" w:id="0">
    <w:p w14:paraId="5A931D60" w14:textId="77777777" w:rsidR="00D849A9" w:rsidRDefault="00D849A9" w:rsidP="00760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Zapf Dingbats">
    <w:altName w:val="Calibri"/>
    <w:panose1 w:val="00000000000000000000"/>
    <w:charset w:val="4D"/>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231647"/>
      <w:docPartObj>
        <w:docPartGallery w:val="Page Numbers (Bottom of Page)"/>
        <w:docPartUnique/>
      </w:docPartObj>
    </w:sdtPr>
    <w:sdtEndPr/>
    <w:sdtContent>
      <w:p w14:paraId="2DE560E4" w14:textId="721F7B97" w:rsidR="00760E49" w:rsidRDefault="00760E49">
        <w:pPr>
          <w:pStyle w:val="Fuzeile"/>
          <w:jc w:val="center"/>
        </w:pPr>
        <w:r>
          <w:fldChar w:fldCharType="begin"/>
        </w:r>
        <w:r>
          <w:instrText>PAGE   \* MERGEFORMAT</w:instrText>
        </w:r>
        <w:r>
          <w:fldChar w:fldCharType="separate"/>
        </w:r>
        <w:r>
          <w:t>2</w:t>
        </w:r>
        <w:r>
          <w:fldChar w:fldCharType="end"/>
        </w:r>
      </w:p>
    </w:sdtContent>
  </w:sdt>
  <w:p w14:paraId="381DB548" w14:textId="77777777" w:rsidR="00760E49" w:rsidRDefault="00760E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1729F" w14:textId="77777777" w:rsidR="00D849A9" w:rsidRDefault="00D849A9" w:rsidP="00760E49">
      <w:r>
        <w:separator/>
      </w:r>
    </w:p>
  </w:footnote>
  <w:footnote w:type="continuationSeparator" w:id="0">
    <w:p w14:paraId="380146C5" w14:textId="77777777" w:rsidR="00D849A9" w:rsidRDefault="00D849A9" w:rsidP="00760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594055"/>
      <w:docPartObj>
        <w:docPartGallery w:val="Page Numbers (Top of Page)"/>
        <w:docPartUnique/>
      </w:docPartObj>
    </w:sdtPr>
    <w:sdtContent>
      <w:p w14:paraId="386899A4" w14:textId="557978DE" w:rsidR="00AC665A" w:rsidRDefault="00AC665A">
        <w:pPr>
          <w:pStyle w:val="Kopfzeile"/>
          <w:jc w:val="right"/>
        </w:pPr>
        <w:r>
          <w:fldChar w:fldCharType="begin"/>
        </w:r>
        <w:r>
          <w:instrText>PAGE   \* MERGEFORMAT</w:instrText>
        </w:r>
        <w:r>
          <w:fldChar w:fldCharType="separate"/>
        </w:r>
        <w:r>
          <w:t>2</w:t>
        </w:r>
        <w:r>
          <w:fldChar w:fldCharType="end"/>
        </w:r>
      </w:p>
    </w:sdtContent>
  </w:sdt>
  <w:p w14:paraId="03998295" w14:textId="77777777" w:rsidR="00AC665A" w:rsidRDefault="00AC66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8235D"/>
    <w:multiLevelType w:val="hybridMultilevel"/>
    <w:tmpl w:val="281E4B60"/>
    <w:lvl w:ilvl="0" w:tplc="347E44C6">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2729DD"/>
    <w:multiLevelType w:val="hybridMultilevel"/>
    <w:tmpl w:val="772C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735B54"/>
    <w:multiLevelType w:val="hybridMultilevel"/>
    <w:tmpl w:val="D618EB4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945189929">
    <w:abstractNumId w:val="0"/>
  </w:num>
  <w:num w:numId="2" w16cid:durableId="2123986544">
    <w:abstractNumId w:val="2"/>
  </w:num>
  <w:num w:numId="3" w16cid:durableId="1215237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AC2"/>
    <w:rsid w:val="00057063"/>
    <w:rsid w:val="000A0CE3"/>
    <w:rsid w:val="000C0B9C"/>
    <w:rsid w:val="000C71E5"/>
    <w:rsid w:val="000E33DF"/>
    <w:rsid w:val="001164E5"/>
    <w:rsid w:val="0012561D"/>
    <w:rsid w:val="00146AA2"/>
    <w:rsid w:val="00176E5F"/>
    <w:rsid w:val="00226F89"/>
    <w:rsid w:val="00247C9B"/>
    <w:rsid w:val="00263B0B"/>
    <w:rsid w:val="00266952"/>
    <w:rsid w:val="002921BB"/>
    <w:rsid w:val="00350AC2"/>
    <w:rsid w:val="00370BCE"/>
    <w:rsid w:val="00396CC0"/>
    <w:rsid w:val="003E36FE"/>
    <w:rsid w:val="0043084B"/>
    <w:rsid w:val="00431FB2"/>
    <w:rsid w:val="004D1F1B"/>
    <w:rsid w:val="00546035"/>
    <w:rsid w:val="00546DA9"/>
    <w:rsid w:val="005632BF"/>
    <w:rsid w:val="00563C10"/>
    <w:rsid w:val="0057301D"/>
    <w:rsid w:val="00585B98"/>
    <w:rsid w:val="005D5CF0"/>
    <w:rsid w:val="00636537"/>
    <w:rsid w:val="006D6D86"/>
    <w:rsid w:val="00721135"/>
    <w:rsid w:val="00760E49"/>
    <w:rsid w:val="007A0495"/>
    <w:rsid w:val="007A1930"/>
    <w:rsid w:val="007A238A"/>
    <w:rsid w:val="00803D1E"/>
    <w:rsid w:val="008B59D7"/>
    <w:rsid w:val="008D4A88"/>
    <w:rsid w:val="00900AC8"/>
    <w:rsid w:val="00991205"/>
    <w:rsid w:val="00A054B1"/>
    <w:rsid w:val="00A45D11"/>
    <w:rsid w:val="00A85F09"/>
    <w:rsid w:val="00A95479"/>
    <w:rsid w:val="00A97C9D"/>
    <w:rsid w:val="00AA57C7"/>
    <w:rsid w:val="00AC6410"/>
    <w:rsid w:val="00AC665A"/>
    <w:rsid w:val="00AD65FF"/>
    <w:rsid w:val="00B7583B"/>
    <w:rsid w:val="00B91BEC"/>
    <w:rsid w:val="00BB1AED"/>
    <w:rsid w:val="00C41C84"/>
    <w:rsid w:val="00C44BE8"/>
    <w:rsid w:val="00CD304C"/>
    <w:rsid w:val="00CE019A"/>
    <w:rsid w:val="00D849A9"/>
    <w:rsid w:val="00DD7152"/>
    <w:rsid w:val="00E02EDD"/>
    <w:rsid w:val="00E04E4E"/>
    <w:rsid w:val="00E31255"/>
    <w:rsid w:val="00E6033D"/>
    <w:rsid w:val="00E94AC3"/>
    <w:rsid w:val="00F262CD"/>
    <w:rsid w:val="00F63903"/>
    <w:rsid w:val="00F94D3C"/>
    <w:rsid w:val="00FA69E3"/>
    <w:rsid w:val="00FC2E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A46E2A"/>
  <w15:chartTrackingRefBased/>
  <w15:docId w15:val="{4E884CF4-EAC4-4247-82D9-18ED22B9A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0AC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50AC2"/>
    <w:pPr>
      <w:jc w:val="both"/>
    </w:pPr>
  </w:style>
  <w:style w:type="character" w:customStyle="1" w:styleId="TextkrperZchn">
    <w:name w:val="Textkörper Zchn"/>
    <w:basedOn w:val="Absatz-Standardschriftart"/>
    <w:link w:val="Textkrper"/>
    <w:rsid w:val="00350AC2"/>
    <w:rPr>
      <w:rFonts w:ascii="Times New Roman" w:eastAsia="Times New Roman" w:hAnsi="Times New Roman" w:cs="Times New Roman"/>
      <w:sz w:val="24"/>
      <w:szCs w:val="24"/>
      <w:lang w:eastAsia="de-DE"/>
    </w:rPr>
  </w:style>
  <w:style w:type="character" w:styleId="Hyperlink">
    <w:name w:val="Hyperlink"/>
    <w:basedOn w:val="Absatz-Standardschriftart"/>
    <w:rsid w:val="00350AC2"/>
    <w:rPr>
      <w:color w:val="0000FF"/>
      <w:u w:val="single"/>
    </w:rPr>
  </w:style>
  <w:style w:type="table" w:styleId="Tabellenraster">
    <w:name w:val="Table Grid"/>
    <w:basedOn w:val="NormaleTabelle"/>
    <w:rsid w:val="00350AC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atz1">
    <w:name w:val="Absatz 1"/>
    <w:basedOn w:val="Standard"/>
    <w:rsid w:val="00350AC2"/>
    <w:pPr>
      <w:widowControl w:val="0"/>
      <w:spacing w:before="100" w:line="300" w:lineRule="atLeast"/>
      <w:ind w:left="510" w:hanging="510"/>
      <w:jc w:val="both"/>
    </w:pPr>
    <w:rPr>
      <w:snapToGrid w:val="0"/>
      <w:szCs w:val="20"/>
    </w:rPr>
  </w:style>
  <w:style w:type="paragraph" w:customStyle="1" w:styleId="Stift">
    <w:name w:val="Stift"/>
    <w:basedOn w:val="Standard"/>
    <w:rsid w:val="00350AC2"/>
    <w:pPr>
      <w:widowControl w:val="0"/>
      <w:tabs>
        <w:tab w:val="center" w:pos="4819"/>
        <w:tab w:val="right" w:pos="9071"/>
      </w:tabs>
      <w:spacing w:line="300" w:lineRule="atLeast"/>
      <w:jc w:val="both"/>
    </w:pPr>
    <w:rPr>
      <w:rFonts w:ascii="Zapf Dingbats" w:hAnsi="Zapf Dingbats"/>
      <w:snapToGrid w:val="0"/>
      <w:sz w:val="60"/>
      <w:szCs w:val="20"/>
    </w:rPr>
  </w:style>
  <w:style w:type="paragraph" w:styleId="Listenabsatz">
    <w:name w:val="List Paragraph"/>
    <w:basedOn w:val="Standard"/>
    <w:uiPriority w:val="34"/>
    <w:qFormat/>
    <w:rsid w:val="00350AC2"/>
    <w:pPr>
      <w:ind w:left="720"/>
      <w:contextualSpacing/>
    </w:pPr>
  </w:style>
  <w:style w:type="character" w:styleId="Kommentarzeichen">
    <w:name w:val="annotation reference"/>
    <w:basedOn w:val="Absatz-Standardschriftart"/>
    <w:uiPriority w:val="99"/>
    <w:semiHidden/>
    <w:unhideWhenUsed/>
    <w:rsid w:val="00350AC2"/>
    <w:rPr>
      <w:sz w:val="16"/>
      <w:szCs w:val="16"/>
    </w:rPr>
  </w:style>
  <w:style w:type="paragraph" w:styleId="Kommentartext">
    <w:name w:val="annotation text"/>
    <w:basedOn w:val="Standard"/>
    <w:link w:val="KommentartextZchn"/>
    <w:uiPriority w:val="99"/>
    <w:unhideWhenUsed/>
    <w:rsid w:val="00350AC2"/>
    <w:rPr>
      <w:sz w:val="20"/>
      <w:szCs w:val="20"/>
    </w:rPr>
  </w:style>
  <w:style w:type="character" w:customStyle="1" w:styleId="KommentartextZchn">
    <w:name w:val="Kommentartext Zchn"/>
    <w:basedOn w:val="Absatz-Standardschriftart"/>
    <w:link w:val="Kommentartext"/>
    <w:uiPriority w:val="99"/>
    <w:rsid w:val="00350AC2"/>
    <w:rPr>
      <w:rFonts w:ascii="Times New Roman" w:eastAsia="Times New Roman" w:hAnsi="Times New Roman" w:cs="Times New Roman"/>
      <w:sz w:val="20"/>
      <w:szCs w:val="20"/>
      <w:lang w:eastAsia="de-DE"/>
    </w:rPr>
  </w:style>
  <w:style w:type="paragraph" w:styleId="Kopfzeile">
    <w:name w:val="header"/>
    <w:basedOn w:val="Standard"/>
    <w:link w:val="KopfzeileZchn"/>
    <w:uiPriority w:val="99"/>
    <w:unhideWhenUsed/>
    <w:rsid w:val="00760E49"/>
    <w:pPr>
      <w:tabs>
        <w:tab w:val="center" w:pos="4536"/>
        <w:tab w:val="right" w:pos="9072"/>
      </w:tabs>
    </w:pPr>
  </w:style>
  <w:style w:type="character" w:customStyle="1" w:styleId="KopfzeileZchn">
    <w:name w:val="Kopfzeile Zchn"/>
    <w:basedOn w:val="Absatz-Standardschriftart"/>
    <w:link w:val="Kopfzeile"/>
    <w:uiPriority w:val="99"/>
    <w:rsid w:val="00760E49"/>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760E49"/>
    <w:pPr>
      <w:tabs>
        <w:tab w:val="center" w:pos="4536"/>
        <w:tab w:val="right" w:pos="9072"/>
      </w:tabs>
    </w:pPr>
  </w:style>
  <w:style w:type="character" w:customStyle="1" w:styleId="FuzeileZchn">
    <w:name w:val="Fußzeile Zchn"/>
    <w:basedOn w:val="Absatz-Standardschriftart"/>
    <w:link w:val="Fuzeile"/>
    <w:uiPriority w:val="99"/>
    <w:rsid w:val="00760E49"/>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263B0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3B0B"/>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F262CD"/>
    <w:rPr>
      <w:b/>
      <w:bCs/>
    </w:rPr>
  </w:style>
  <w:style w:type="character" w:customStyle="1" w:styleId="KommentarthemaZchn">
    <w:name w:val="Kommentarthema Zchn"/>
    <w:basedOn w:val="KommentartextZchn"/>
    <w:link w:val="Kommentarthema"/>
    <w:uiPriority w:val="99"/>
    <w:semiHidden/>
    <w:rsid w:val="00F262CD"/>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e.wikipedia.org/wiki/Eu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61C52-092B-4C6C-9FA5-276FECAEF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1851</Words>
  <Characters>11662</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Gehringer</dc:creator>
  <cp:keywords/>
  <dc:description/>
  <cp:lastModifiedBy>Agnieszka Gehringer</cp:lastModifiedBy>
  <cp:revision>54</cp:revision>
  <dcterms:created xsi:type="dcterms:W3CDTF">2021-09-29T08:07:00Z</dcterms:created>
  <dcterms:modified xsi:type="dcterms:W3CDTF">2023-03-08T08:09:00Z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2021-09-29T08:07:11Z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de26d8bc-749e-4460-8100-72d6575895e6</vt:lpwstr>
  </property>
  <property fmtid="{D5CDD505-2E9C-101B-9397-08002B2CF9AE}" pid="8" name="MSIP_Label_e31ac907-69c7-41f8-b132-f74e8ef934a2_ContentBits">
    <vt:lpwstr>0</vt:lpwstr>
  </property>
</Properties>
</file>